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CD5C45" w14:textId="77777777" w:rsidR="004A21A4" w:rsidRDefault="004A21A4" w:rsidP="00451723">
      <w:pPr>
        <w:jc w:val="center"/>
        <w:rPr>
          <w:rFonts w:ascii="Leelawadee" w:hAnsi="Leelawadee" w:cs="Leelawadee"/>
          <w:b/>
          <w:sz w:val="24"/>
          <w:szCs w:val="24"/>
          <w:lang w:val="en-US"/>
        </w:rPr>
      </w:pPr>
    </w:p>
    <w:p w14:paraId="6759A67F" w14:textId="77777777" w:rsidR="00145F3E" w:rsidRPr="00451723" w:rsidRDefault="00145F3E" w:rsidP="00451723">
      <w:pPr>
        <w:jc w:val="center"/>
        <w:rPr>
          <w:rFonts w:ascii="Leelawadee" w:hAnsi="Leelawadee" w:cs="Leelawadee"/>
          <w:b/>
          <w:sz w:val="24"/>
          <w:szCs w:val="24"/>
          <w:lang w:val="en-US"/>
        </w:rPr>
      </w:pPr>
      <w:r w:rsidRPr="00451723">
        <w:rPr>
          <w:rFonts w:ascii="Leelawadee" w:hAnsi="Leelawadee" w:cs="Leelawadee"/>
          <w:b/>
          <w:sz w:val="24"/>
          <w:szCs w:val="24"/>
          <w:lang w:val="en-US"/>
        </w:rPr>
        <w:t>Territorial development + local autonomy = spatial (</w:t>
      </w:r>
      <w:proofErr w:type="gramStart"/>
      <w:r w:rsidRPr="00451723">
        <w:rPr>
          <w:rFonts w:ascii="Leelawadee" w:hAnsi="Leelawadee" w:cs="Leelawadee"/>
          <w:b/>
          <w:sz w:val="24"/>
          <w:szCs w:val="24"/>
          <w:lang w:val="en-US"/>
        </w:rPr>
        <w:t>in)justice</w:t>
      </w:r>
      <w:proofErr w:type="gramEnd"/>
      <w:r w:rsidRPr="00451723">
        <w:rPr>
          <w:rFonts w:ascii="Leelawadee" w:hAnsi="Leelawadee" w:cs="Leelawadee"/>
          <w:b/>
          <w:sz w:val="24"/>
          <w:szCs w:val="24"/>
          <w:lang w:val="en-US"/>
        </w:rPr>
        <w:t>?</w:t>
      </w:r>
    </w:p>
    <w:p w14:paraId="75553165" w14:textId="77777777" w:rsidR="00145F3E" w:rsidRPr="00451723" w:rsidRDefault="00145F3E" w:rsidP="00451723">
      <w:pPr>
        <w:jc w:val="center"/>
        <w:rPr>
          <w:rFonts w:ascii="Leelawadee" w:hAnsi="Leelawadee" w:cs="Leelawadee"/>
        </w:rPr>
      </w:pPr>
      <w:r w:rsidRPr="00451723">
        <w:rPr>
          <w:rFonts w:ascii="Leelawadee" w:hAnsi="Leelawadee" w:cs="Leelawadee"/>
        </w:rPr>
        <w:t>Cyril Blondel, Estelle Evrard</w:t>
      </w:r>
      <w:r w:rsidR="00451723" w:rsidRPr="00451723">
        <w:rPr>
          <w:rFonts w:ascii="Leelawadee" w:hAnsi="Leelawadee" w:cs="Leelawadee"/>
        </w:rPr>
        <w:t>, University of Luxembourg</w:t>
      </w:r>
    </w:p>
    <w:p w14:paraId="6054F909" w14:textId="77777777" w:rsidR="004A21A4" w:rsidRDefault="004A21A4" w:rsidP="00145F3E">
      <w:pPr>
        <w:jc w:val="both"/>
        <w:rPr>
          <w:rFonts w:ascii="Leelawadee" w:hAnsi="Leelawadee" w:cs="Leelawadee"/>
          <w:sz w:val="24"/>
          <w:szCs w:val="24"/>
          <w:lang w:val="en-GB"/>
        </w:rPr>
      </w:pPr>
    </w:p>
    <w:p w14:paraId="36E2A629" w14:textId="77777777" w:rsidR="00145F3E" w:rsidRPr="00451723" w:rsidRDefault="00145F3E" w:rsidP="00145F3E">
      <w:pPr>
        <w:jc w:val="both"/>
        <w:rPr>
          <w:rFonts w:ascii="Leelawadee" w:hAnsi="Leelawadee" w:cs="Leelawadee"/>
          <w:sz w:val="24"/>
          <w:szCs w:val="24"/>
          <w:lang w:val="en-GB"/>
        </w:rPr>
      </w:pPr>
      <w:r w:rsidRPr="00451723">
        <w:rPr>
          <w:rFonts w:ascii="Leelawadee" w:hAnsi="Leelawadee" w:cs="Leelawadee"/>
          <w:sz w:val="24"/>
          <w:szCs w:val="24"/>
          <w:lang w:val="en-GB"/>
        </w:rPr>
        <w:t xml:space="preserve">For several decades, international organisations (especially European ones) have dedicated an important share of their development policy to strengthening the autonomy of local authorities (sometimes referred to as </w:t>
      </w:r>
      <w:r w:rsidRPr="00451723">
        <w:rPr>
          <w:rFonts w:ascii="Leelawadee" w:hAnsi="Leelawadee" w:cs="Leelawadee"/>
          <w:i/>
          <w:sz w:val="24"/>
          <w:szCs w:val="24"/>
          <w:lang w:val="en-GB"/>
        </w:rPr>
        <w:t>"empowerment"</w:t>
      </w:r>
      <w:r w:rsidRPr="00451723">
        <w:rPr>
          <w:rFonts w:ascii="Leelawadee" w:hAnsi="Leelawadee" w:cs="Leelawadee"/>
          <w:sz w:val="24"/>
          <w:szCs w:val="24"/>
          <w:lang w:val="en-GB"/>
        </w:rPr>
        <w:t xml:space="preserve"> of the local). The recipes are known and amount to implementing the doctrine that western states have applied to themselves since the 1980s: to </w:t>
      </w:r>
      <w:proofErr w:type="spellStart"/>
      <w:r w:rsidRPr="00451723">
        <w:rPr>
          <w:rFonts w:ascii="Leelawadee" w:hAnsi="Leelawadee" w:cs="Leelawadee"/>
          <w:sz w:val="24"/>
          <w:szCs w:val="24"/>
          <w:lang w:val="en-GB"/>
        </w:rPr>
        <w:t>deconcentrate</w:t>
      </w:r>
      <w:proofErr w:type="spellEnd"/>
      <w:r w:rsidRPr="00451723">
        <w:rPr>
          <w:rFonts w:ascii="Leelawadee" w:hAnsi="Leelawadee" w:cs="Leelawadee"/>
          <w:sz w:val="24"/>
          <w:szCs w:val="24"/>
          <w:lang w:val="en-GB"/>
        </w:rPr>
        <w:t xml:space="preserve"> and decentralise public action as much as possible at the local level (Brenner, 2004), especially urban policies</w:t>
      </w:r>
      <w:r w:rsidRPr="00451723">
        <w:rPr>
          <w:rStyle w:val="Marquenotebasdepage"/>
          <w:rFonts w:ascii="Leelawadee" w:hAnsi="Leelawadee" w:cs="Leelawadee"/>
          <w:sz w:val="24"/>
          <w:szCs w:val="24"/>
          <w:lang w:val="en-GB"/>
        </w:rPr>
        <w:footnoteReference w:id="1"/>
      </w:r>
      <w:r w:rsidRPr="00451723">
        <w:rPr>
          <w:rFonts w:ascii="Leelawadee" w:hAnsi="Leelawadee" w:cs="Leelawadee"/>
          <w:sz w:val="24"/>
          <w:szCs w:val="24"/>
          <w:lang w:val="en-GB"/>
        </w:rPr>
        <w:t xml:space="preserve">. </w:t>
      </w:r>
      <w:proofErr w:type="gramStart"/>
      <w:r w:rsidRPr="00451723">
        <w:rPr>
          <w:rFonts w:ascii="Leelawadee" w:hAnsi="Leelawadee" w:cs="Leelawadee"/>
          <w:sz w:val="24"/>
          <w:szCs w:val="24"/>
          <w:lang w:val="en-GB"/>
        </w:rPr>
        <w:t>This revival of localism benefits from a favourable situation mainly on two levels.</w:t>
      </w:r>
      <w:proofErr w:type="gramEnd"/>
    </w:p>
    <w:p w14:paraId="300D4F35" w14:textId="77777777" w:rsidR="00145F3E" w:rsidRPr="00451723" w:rsidRDefault="00145F3E" w:rsidP="00145F3E">
      <w:pPr>
        <w:jc w:val="both"/>
        <w:rPr>
          <w:rFonts w:ascii="Leelawadee" w:hAnsi="Leelawadee" w:cs="Leelawadee"/>
          <w:sz w:val="24"/>
          <w:szCs w:val="24"/>
          <w:lang w:val="en-US"/>
        </w:rPr>
      </w:pPr>
      <w:r w:rsidRPr="00451723">
        <w:rPr>
          <w:rFonts w:ascii="Leelawadee" w:hAnsi="Leelawadee" w:cs="Leelawadee"/>
          <w:sz w:val="24"/>
          <w:szCs w:val="24"/>
          <w:lang w:val="en-US"/>
        </w:rPr>
        <w:t xml:space="preserve">In the first place, some research claims, and international institutions use this as an argument, that state action alone is insufficient in terms of development. For example, the Council and the Parliament, the Committee of the Regions and the Economic and Social Council of the EU state, in a joint communication entitled </w:t>
      </w:r>
      <w:r w:rsidRPr="00451723">
        <w:rPr>
          <w:rFonts w:ascii="Leelawadee" w:hAnsi="Leelawadee" w:cs="Leelawadee"/>
          <w:i/>
          <w:sz w:val="24"/>
          <w:szCs w:val="24"/>
          <w:lang w:val="en-US"/>
        </w:rPr>
        <w:t>"Empowering Local Authorities in partner countries for enhanced governance and more effective development outcomes,"</w:t>
      </w:r>
      <w:r w:rsidRPr="00451723">
        <w:rPr>
          <w:rFonts w:ascii="Leelawadee" w:hAnsi="Leelawadee" w:cs="Leelawadee"/>
          <w:sz w:val="24"/>
          <w:szCs w:val="24"/>
          <w:lang w:val="en-US"/>
        </w:rPr>
        <w:t xml:space="preserve"> that</w:t>
      </w:r>
      <w:r w:rsidRPr="00451723">
        <w:rPr>
          <w:rFonts w:ascii="Leelawadee" w:hAnsi="Leelawadee" w:cs="Leelawadee"/>
          <w:i/>
          <w:sz w:val="24"/>
          <w:szCs w:val="24"/>
          <w:lang w:val="en-US"/>
        </w:rPr>
        <w:t xml:space="preserve"> “centrally-led, top-down development policies and </w:t>
      </w:r>
      <w:proofErr w:type="spellStart"/>
      <w:r w:rsidRPr="00451723">
        <w:rPr>
          <w:rFonts w:ascii="Leelawadee" w:hAnsi="Leelawadee" w:cs="Leelawadee"/>
          <w:i/>
          <w:sz w:val="24"/>
          <w:szCs w:val="24"/>
          <w:lang w:val="en-US"/>
        </w:rPr>
        <w:t>programmes</w:t>
      </w:r>
      <w:proofErr w:type="spellEnd"/>
      <w:r w:rsidRPr="00451723">
        <w:rPr>
          <w:rFonts w:ascii="Leelawadee" w:hAnsi="Leelawadee" w:cs="Leelawadee"/>
          <w:i/>
          <w:sz w:val="24"/>
          <w:szCs w:val="24"/>
          <w:lang w:val="en-US"/>
        </w:rPr>
        <w:t xml:space="preserve"> alone cannot succeed in addressing the complexities of sustainable development and fighting poverty” </w:t>
      </w:r>
      <w:r w:rsidRPr="00451723">
        <w:rPr>
          <w:rFonts w:ascii="Leelawadee" w:hAnsi="Leelawadee" w:cs="Leelawadee"/>
          <w:sz w:val="24"/>
          <w:szCs w:val="24"/>
          <w:lang w:val="en-US"/>
        </w:rPr>
        <w:t>(2013).</w:t>
      </w:r>
    </w:p>
    <w:p w14:paraId="09A475B4" w14:textId="77777777" w:rsidR="00145F3E" w:rsidRPr="00451723" w:rsidRDefault="00145F3E" w:rsidP="00145F3E">
      <w:pPr>
        <w:jc w:val="both"/>
        <w:rPr>
          <w:rFonts w:ascii="Leelawadee" w:hAnsi="Leelawadee" w:cs="Leelawadee"/>
          <w:sz w:val="24"/>
          <w:szCs w:val="24"/>
          <w:lang w:val="en-US"/>
        </w:rPr>
      </w:pPr>
      <w:r w:rsidRPr="00451723">
        <w:rPr>
          <w:rFonts w:ascii="Leelawadee" w:hAnsi="Leelawadee" w:cs="Leelawadee"/>
          <w:sz w:val="24"/>
          <w:szCs w:val="24"/>
          <w:lang w:val="en-US"/>
        </w:rPr>
        <w:t xml:space="preserve">In contrast, local authorities benefit from a positive outlook. Seen as being </w:t>
      </w:r>
      <w:r w:rsidRPr="00451723">
        <w:rPr>
          <w:rFonts w:ascii="Leelawadee" w:hAnsi="Leelawadee" w:cs="Leelawadee"/>
          <w:i/>
          <w:sz w:val="24"/>
          <w:szCs w:val="24"/>
          <w:lang w:val="en-US"/>
        </w:rPr>
        <w:t>"closer to the citizens”</w:t>
      </w:r>
      <w:r w:rsidRPr="00451723">
        <w:rPr>
          <w:rFonts w:ascii="Leelawadee" w:hAnsi="Leelawadee" w:cs="Leelawadee"/>
          <w:sz w:val="24"/>
          <w:szCs w:val="24"/>
          <w:lang w:val="en-US"/>
        </w:rPr>
        <w:t xml:space="preserve">, they would have the </w:t>
      </w:r>
      <w:r w:rsidRPr="00451723">
        <w:rPr>
          <w:rFonts w:ascii="Leelawadee" w:hAnsi="Leelawadee" w:cs="Leelawadee"/>
          <w:i/>
          <w:sz w:val="24"/>
          <w:szCs w:val="24"/>
          <w:lang w:val="en-US"/>
        </w:rPr>
        <w:t>"responsibility to meet their primary needs and to ensure access to basic services for all"</w:t>
      </w:r>
      <w:r w:rsidRPr="00451723">
        <w:rPr>
          <w:rFonts w:ascii="Leelawadee" w:hAnsi="Leelawadee" w:cs="Leelawadee"/>
          <w:sz w:val="24"/>
          <w:szCs w:val="24"/>
          <w:lang w:val="en-US"/>
        </w:rPr>
        <w:t xml:space="preserve"> (ibid). The latter pushes </w:t>
      </w:r>
      <w:proofErr w:type="spellStart"/>
      <w:r w:rsidRPr="00451723">
        <w:rPr>
          <w:rFonts w:ascii="Leelawadee" w:hAnsi="Leelawadee" w:cs="Leelawadee"/>
          <w:sz w:val="24"/>
          <w:szCs w:val="24"/>
          <w:lang w:val="en-US"/>
        </w:rPr>
        <w:t>Jaafar</w:t>
      </w:r>
      <w:proofErr w:type="spellEnd"/>
      <w:r w:rsidRPr="00451723">
        <w:rPr>
          <w:rFonts w:ascii="Leelawadee" w:hAnsi="Leelawadee" w:cs="Leelawadee"/>
          <w:sz w:val="24"/>
          <w:szCs w:val="24"/>
          <w:lang w:val="en-US"/>
        </w:rPr>
        <w:t xml:space="preserve"> </w:t>
      </w:r>
      <w:proofErr w:type="spellStart"/>
      <w:r w:rsidRPr="00451723">
        <w:rPr>
          <w:rFonts w:ascii="Leelawadee" w:hAnsi="Leelawadee" w:cs="Leelawadee"/>
          <w:sz w:val="24"/>
          <w:szCs w:val="24"/>
          <w:lang w:val="en-US"/>
        </w:rPr>
        <w:t>Sadok</w:t>
      </w:r>
      <w:proofErr w:type="spellEnd"/>
      <w:r w:rsidRPr="00451723">
        <w:rPr>
          <w:rFonts w:ascii="Leelawadee" w:hAnsi="Leelawadee" w:cs="Leelawadee"/>
          <w:sz w:val="24"/>
          <w:szCs w:val="24"/>
          <w:lang w:val="en-US"/>
        </w:rPr>
        <w:t xml:space="preserve"> </w:t>
      </w:r>
      <w:proofErr w:type="spellStart"/>
      <w:r w:rsidRPr="00451723">
        <w:rPr>
          <w:rFonts w:ascii="Leelawadee" w:hAnsi="Leelawadee" w:cs="Leelawadee"/>
          <w:sz w:val="24"/>
          <w:szCs w:val="24"/>
          <w:lang w:val="en-US"/>
        </w:rPr>
        <w:t>Friaa</w:t>
      </w:r>
      <w:proofErr w:type="spellEnd"/>
      <w:r w:rsidRPr="00451723">
        <w:rPr>
          <w:rStyle w:val="Marquenotebasdepage"/>
          <w:rFonts w:ascii="Leelawadee" w:hAnsi="Leelawadee" w:cs="Leelawadee"/>
          <w:sz w:val="24"/>
          <w:szCs w:val="24"/>
          <w:lang w:val="en-US"/>
        </w:rPr>
        <w:footnoteReference w:id="2"/>
      </w:r>
      <w:r w:rsidRPr="00451723">
        <w:rPr>
          <w:rFonts w:ascii="Leelawadee" w:hAnsi="Leelawadee" w:cs="Leelawadee"/>
          <w:sz w:val="24"/>
          <w:szCs w:val="24"/>
          <w:lang w:val="en-US"/>
        </w:rPr>
        <w:t xml:space="preserve"> to claim, in the context of the development of the </w:t>
      </w:r>
      <w:proofErr w:type="spellStart"/>
      <w:r w:rsidRPr="00451723">
        <w:rPr>
          <w:rFonts w:ascii="Leelawadee" w:hAnsi="Leelawadee" w:cs="Leelawadee"/>
          <w:sz w:val="24"/>
          <w:szCs w:val="24"/>
          <w:lang w:val="en-US"/>
        </w:rPr>
        <w:t>programme</w:t>
      </w:r>
      <w:proofErr w:type="spellEnd"/>
      <w:r w:rsidRPr="00451723">
        <w:rPr>
          <w:rFonts w:ascii="Leelawadee" w:hAnsi="Leelawadee" w:cs="Leelawadee"/>
          <w:sz w:val="24"/>
          <w:szCs w:val="24"/>
          <w:lang w:val="en-US"/>
        </w:rPr>
        <w:t xml:space="preserve"> of urban development and local governance for Tunisia: </w:t>
      </w:r>
      <w:r w:rsidRPr="00451723">
        <w:rPr>
          <w:rFonts w:ascii="Leelawadee" w:hAnsi="Leelawadee" w:cs="Leelawadee"/>
          <w:i/>
          <w:sz w:val="24"/>
          <w:szCs w:val="24"/>
          <w:lang w:val="en-US"/>
        </w:rPr>
        <w:t>"In order for decentralization to work, local authorities must gain autonomy, capacities and responsibilities"</w:t>
      </w:r>
      <w:r w:rsidRPr="00451723">
        <w:rPr>
          <w:rFonts w:ascii="Leelawadee" w:hAnsi="Leelawadee" w:cs="Leelawadee"/>
          <w:sz w:val="24"/>
          <w:szCs w:val="24"/>
          <w:lang w:val="en-US"/>
        </w:rPr>
        <w:t xml:space="preserve"> (World Bank, 2014). In their development </w:t>
      </w:r>
      <w:proofErr w:type="spellStart"/>
      <w:r w:rsidRPr="00451723">
        <w:rPr>
          <w:rFonts w:ascii="Leelawadee" w:hAnsi="Leelawadee" w:cs="Leelawadee"/>
          <w:sz w:val="24"/>
          <w:szCs w:val="24"/>
          <w:lang w:val="en-US"/>
        </w:rPr>
        <w:t>programmes</w:t>
      </w:r>
      <w:proofErr w:type="spellEnd"/>
      <w:r w:rsidRPr="00451723">
        <w:rPr>
          <w:rFonts w:ascii="Leelawadee" w:hAnsi="Leelawadee" w:cs="Leelawadee"/>
          <w:sz w:val="24"/>
          <w:szCs w:val="24"/>
          <w:lang w:val="en-US"/>
        </w:rPr>
        <w:t>, international organizations thus advocate for multilevel governance that strengthens the power of the local level, which is supposedly more legitimate and more effective in its capacity to produce development. More local autonomy would thus be synonymous with more distributive justice for the benefit of local territories and their populations.</w:t>
      </w:r>
    </w:p>
    <w:p w14:paraId="05443EE1" w14:textId="77777777" w:rsidR="00145F3E" w:rsidRPr="00451723" w:rsidRDefault="00145F3E" w:rsidP="00145F3E">
      <w:pPr>
        <w:jc w:val="both"/>
        <w:rPr>
          <w:rFonts w:ascii="Leelawadee" w:hAnsi="Leelawadee" w:cs="Leelawadee"/>
          <w:sz w:val="24"/>
          <w:szCs w:val="24"/>
          <w:lang w:val="en-US"/>
        </w:rPr>
      </w:pPr>
      <w:r w:rsidRPr="00451723">
        <w:rPr>
          <w:rFonts w:ascii="Leelawadee" w:hAnsi="Leelawadee" w:cs="Leelawadee"/>
          <w:sz w:val="24"/>
          <w:szCs w:val="24"/>
          <w:lang w:val="en-US"/>
        </w:rPr>
        <w:t xml:space="preserve">In the second place, this rebalancing towards the local is also seen as being more democratic. It is presented as a response to a claim from the citizens themselves to participate more in decision-making. This is one of the responses to the very diverse requests for increased autonomy from specific territories, populations and </w:t>
      </w:r>
      <w:r w:rsidRPr="00451723">
        <w:rPr>
          <w:rFonts w:ascii="Leelawadee" w:hAnsi="Leelawadee" w:cs="Leelawadee"/>
          <w:sz w:val="24"/>
          <w:szCs w:val="24"/>
          <w:lang w:val="en-US"/>
        </w:rPr>
        <w:lastRenderedPageBreak/>
        <w:t>communities that seem to be increasing internationally (Catalonia, Scotland, Quebec, New Caledonia, Greenland, for example...). And nation states often choose to increase their autonomy to avoid independence (</w:t>
      </w:r>
      <w:proofErr w:type="spellStart"/>
      <w:r w:rsidRPr="00451723">
        <w:rPr>
          <w:rFonts w:ascii="Leelawadee" w:hAnsi="Leelawadee" w:cs="Leelawadee"/>
          <w:sz w:val="24"/>
          <w:szCs w:val="24"/>
          <w:lang w:val="en-US"/>
        </w:rPr>
        <w:t>Castellarin</w:t>
      </w:r>
      <w:proofErr w:type="spellEnd"/>
      <w:r w:rsidRPr="00451723">
        <w:rPr>
          <w:rFonts w:ascii="Leelawadee" w:hAnsi="Leelawadee" w:cs="Leelawadee"/>
          <w:sz w:val="24"/>
          <w:szCs w:val="24"/>
          <w:lang w:val="en-US"/>
        </w:rPr>
        <w:t>, 2018).</w:t>
      </w:r>
    </w:p>
    <w:p w14:paraId="262CF1F7" w14:textId="77777777" w:rsidR="00145F3E" w:rsidRPr="00B237E1" w:rsidRDefault="00145F3E" w:rsidP="00145F3E">
      <w:pPr>
        <w:jc w:val="both"/>
        <w:rPr>
          <w:rFonts w:ascii="Leelawadee" w:hAnsi="Leelawadee" w:cs="Leelawadee"/>
          <w:sz w:val="24"/>
          <w:szCs w:val="24"/>
          <w:lang w:val="fr-FR"/>
        </w:rPr>
      </w:pPr>
      <w:r w:rsidRPr="00451723">
        <w:rPr>
          <w:rFonts w:ascii="Leelawadee" w:hAnsi="Leelawadee" w:cs="Leelawadee"/>
          <w:sz w:val="24"/>
          <w:szCs w:val="24"/>
          <w:lang w:val="en-US"/>
        </w:rPr>
        <w:t xml:space="preserve">Here again, international </w:t>
      </w:r>
      <w:proofErr w:type="spellStart"/>
      <w:r w:rsidRPr="00451723">
        <w:rPr>
          <w:rFonts w:ascii="Leelawadee" w:hAnsi="Leelawadee" w:cs="Leelawadee"/>
          <w:sz w:val="24"/>
          <w:szCs w:val="24"/>
          <w:lang w:val="en-US"/>
        </w:rPr>
        <w:t>organisations</w:t>
      </w:r>
      <w:proofErr w:type="spellEnd"/>
      <w:r w:rsidRPr="00451723">
        <w:rPr>
          <w:rFonts w:ascii="Leelawadee" w:hAnsi="Leelawadee" w:cs="Leelawadee"/>
          <w:sz w:val="24"/>
          <w:szCs w:val="24"/>
          <w:lang w:val="en-US"/>
        </w:rPr>
        <w:t xml:space="preserve"> are moving in the same direction. In the 2012 Rio Declaration entitled </w:t>
      </w:r>
      <w:r w:rsidRPr="00451723">
        <w:rPr>
          <w:rFonts w:ascii="Leelawadee" w:hAnsi="Leelawadee" w:cs="Leelawadee"/>
          <w:i/>
          <w:sz w:val="24"/>
          <w:szCs w:val="24"/>
          <w:lang w:val="en-US"/>
        </w:rPr>
        <w:t>"The Future We Want,”</w:t>
      </w:r>
      <w:r w:rsidRPr="00451723">
        <w:rPr>
          <w:rFonts w:ascii="Leelawadee" w:hAnsi="Leelawadee" w:cs="Leelawadee"/>
          <w:sz w:val="24"/>
          <w:szCs w:val="24"/>
          <w:lang w:val="en-US"/>
        </w:rPr>
        <w:t xml:space="preserve"> participants at the UN Conference on Sustainable Development underline the growing importance of local and subnational levels, especially in their ability to “</w:t>
      </w:r>
      <w:proofErr w:type="spellStart"/>
      <w:proofErr w:type="gramStart"/>
      <w:r w:rsidRPr="00451723">
        <w:rPr>
          <w:rFonts w:ascii="Leelawadee" w:hAnsi="Leelawadee" w:cs="Leelawadee"/>
          <w:i/>
          <w:sz w:val="24"/>
          <w:szCs w:val="24"/>
          <w:lang w:val="en-US"/>
        </w:rPr>
        <w:t>engag</w:t>
      </w:r>
      <w:proofErr w:type="spellEnd"/>
      <w:r w:rsidRPr="00451723">
        <w:rPr>
          <w:rFonts w:ascii="Leelawadee" w:hAnsi="Leelawadee" w:cs="Leelawadee"/>
          <w:i/>
          <w:sz w:val="24"/>
          <w:szCs w:val="24"/>
          <w:lang w:val="en-GB"/>
        </w:rPr>
        <w:t>[</w:t>
      </w:r>
      <w:proofErr w:type="gramEnd"/>
      <w:r w:rsidRPr="00451723">
        <w:rPr>
          <w:rFonts w:ascii="Leelawadee" w:hAnsi="Leelawadee" w:cs="Leelawadee"/>
          <w:i/>
          <w:sz w:val="24"/>
          <w:szCs w:val="24"/>
          <w:lang w:val="en-GB"/>
        </w:rPr>
        <w:t>e]</w:t>
      </w:r>
      <w:r w:rsidRPr="00451723">
        <w:rPr>
          <w:rFonts w:ascii="Leelawadee" w:hAnsi="Leelawadee" w:cs="Leelawadee"/>
          <w:i/>
          <w:sz w:val="24"/>
          <w:szCs w:val="24"/>
          <w:lang w:val="en-US"/>
        </w:rPr>
        <w:t xml:space="preserve"> citizens and stakeholders and </w:t>
      </w:r>
      <w:proofErr w:type="spellStart"/>
      <w:r w:rsidRPr="00451723">
        <w:rPr>
          <w:rFonts w:ascii="Leelawadee" w:hAnsi="Leelawadee" w:cs="Leelawadee"/>
          <w:i/>
          <w:sz w:val="24"/>
          <w:szCs w:val="24"/>
          <w:lang w:val="en-US"/>
        </w:rPr>
        <w:t>providi</w:t>
      </w:r>
      <w:proofErr w:type="spellEnd"/>
      <w:r w:rsidRPr="00451723">
        <w:rPr>
          <w:rFonts w:ascii="Leelawadee" w:hAnsi="Leelawadee" w:cs="Leelawadee"/>
          <w:i/>
          <w:sz w:val="24"/>
          <w:szCs w:val="24"/>
          <w:lang w:val="en-GB"/>
        </w:rPr>
        <w:t xml:space="preserve">[e] </w:t>
      </w:r>
      <w:r w:rsidRPr="00451723">
        <w:rPr>
          <w:rFonts w:ascii="Leelawadee" w:hAnsi="Leelawadee" w:cs="Leelawadee"/>
          <w:i/>
          <w:sz w:val="24"/>
          <w:szCs w:val="24"/>
          <w:lang w:val="en-US"/>
        </w:rPr>
        <w:t>them with relevant information, as appropriate, on the three dimensions of sustainable development</w:t>
      </w:r>
      <w:r w:rsidRPr="00451723">
        <w:rPr>
          <w:rFonts w:ascii="Leelawadee" w:hAnsi="Leelawadee" w:cs="Leelawadee"/>
          <w:sz w:val="24"/>
          <w:szCs w:val="24"/>
          <w:lang w:val="en-US"/>
        </w:rPr>
        <w:t xml:space="preserve">” (paragraph 42). In a nutshell, local autonomy is advocated as a positive development because it would help </w:t>
      </w:r>
      <w:proofErr w:type="spellStart"/>
      <w:r w:rsidRPr="00451723">
        <w:rPr>
          <w:rFonts w:ascii="Leelawadee" w:hAnsi="Leelawadee" w:cs="Leelawadee"/>
          <w:sz w:val="24"/>
          <w:szCs w:val="24"/>
          <w:lang w:val="en-US"/>
        </w:rPr>
        <w:t>solv</w:t>
      </w:r>
      <w:proofErr w:type="spellEnd"/>
      <w:r w:rsidRPr="00451723">
        <w:rPr>
          <w:rFonts w:ascii="Leelawadee" w:hAnsi="Leelawadee" w:cs="Leelawadee"/>
          <w:sz w:val="24"/>
          <w:szCs w:val="24"/>
          <w:lang w:val="en-GB"/>
        </w:rPr>
        <w:t xml:space="preserve">e </w:t>
      </w:r>
      <w:r w:rsidRPr="00451723">
        <w:rPr>
          <w:rFonts w:ascii="Leelawadee" w:hAnsi="Leelawadee" w:cs="Leelawadee"/>
          <w:sz w:val="24"/>
          <w:szCs w:val="24"/>
          <w:lang w:val="en-US"/>
        </w:rPr>
        <w:t xml:space="preserve">part of the current democratic crisis, bringing citizens closer to the political decisions, making them more transparent and more open to accountability. </w:t>
      </w:r>
      <w:proofErr w:type="spellStart"/>
      <w:r w:rsidRPr="00451723">
        <w:rPr>
          <w:rFonts w:ascii="Leelawadee" w:hAnsi="Leelawadee" w:cs="Leelawadee"/>
          <w:sz w:val="24"/>
          <w:szCs w:val="24"/>
          <w:lang w:val="fr-FR"/>
        </w:rPr>
        <w:t>Increased</w:t>
      </w:r>
      <w:proofErr w:type="spellEnd"/>
      <w:r w:rsidRPr="00451723">
        <w:rPr>
          <w:rFonts w:ascii="Leelawadee" w:hAnsi="Leelawadee" w:cs="Leelawadee"/>
          <w:sz w:val="24"/>
          <w:szCs w:val="24"/>
          <w:lang w:val="fr-FR"/>
        </w:rPr>
        <w:t xml:space="preserve"> local </w:t>
      </w:r>
      <w:proofErr w:type="spellStart"/>
      <w:r w:rsidRPr="00451723">
        <w:rPr>
          <w:rFonts w:ascii="Leelawadee" w:hAnsi="Leelawadee" w:cs="Leelawadee"/>
          <w:sz w:val="24"/>
          <w:szCs w:val="24"/>
          <w:lang w:val="fr-FR"/>
        </w:rPr>
        <w:t>autonomy</w:t>
      </w:r>
      <w:proofErr w:type="spellEnd"/>
      <w:r w:rsidRPr="00451723">
        <w:rPr>
          <w:rFonts w:ascii="Leelawadee" w:hAnsi="Leelawadee" w:cs="Leelawadee"/>
          <w:sz w:val="24"/>
          <w:szCs w:val="24"/>
          <w:lang w:val="fr-FR"/>
        </w:rPr>
        <w:t xml:space="preserve"> </w:t>
      </w:r>
      <w:proofErr w:type="spellStart"/>
      <w:r w:rsidRPr="00451723">
        <w:rPr>
          <w:rFonts w:ascii="Leelawadee" w:hAnsi="Leelawadee" w:cs="Leelawadee"/>
          <w:sz w:val="24"/>
          <w:szCs w:val="24"/>
          <w:lang w:val="fr-FR"/>
        </w:rPr>
        <w:t>would</w:t>
      </w:r>
      <w:proofErr w:type="spellEnd"/>
      <w:r w:rsidRPr="00451723">
        <w:rPr>
          <w:rFonts w:ascii="Leelawadee" w:hAnsi="Leelawadee" w:cs="Leelawadee"/>
          <w:sz w:val="24"/>
          <w:szCs w:val="24"/>
          <w:lang w:val="fr-FR"/>
        </w:rPr>
        <w:t xml:space="preserve"> </w:t>
      </w:r>
      <w:proofErr w:type="spellStart"/>
      <w:r w:rsidRPr="00451723">
        <w:rPr>
          <w:rFonts w:ascii="Leelawadee" w:hAnsi="Leelawadee" w:cs="Leelawadee"/>
          <w:sz w:val="24"/>
          <w:szCs w:val="24"/>
          <w:lang w:val="fr-FR"/>
        </w:rPr>
        <w:t>also</w:t>
      </w:r>
      <w:proofErr w:type="spellEnd"/>
      <w:r w:rsidRPr="00451723">
        <w:rPr>
          <w:rFonts w:ascii="Leelawadee" w:hAnsi="Leelawadee" w:cs="Leelawadee"/>
          <w:sz w:val="24"/>
          <w:szCs w:val="24"/>
          <w:lang w:val="fr-FR"/>
        </w:rPr>
        <w:t xml:space="preserve"> </w:t>
      </w:r>
      <w:proofErr w:type="spellStart"/>
      <w:r w:rsidRPr="00451723">
        <w:rPr>
          <w:rFonts w:ascii="Leelawadee" w:hAnsi="Leelawadee" w:cs="Leelawadee"/>
          <w:sz w:val="24"/>
          <w:szCs w:val="24"/>
          <w:lang w:val="fr-FR"/>
        </w:rPr>
        <w:t>greater</w:t>
      </w:r>
      <w:proofErr w:type="spellEnd"/>
      <w:r w:rsidRPr="00451723">
        <w:rPr>
          <w:rFonts w:ascii="Leelawadee" w:hAnsi="Leelawadee" w:cs="Leelawadee"/>
          <w:sz w:val="24"/>
          <w:szCs w:val="24"/>
          <w:lang w:val="fr-FR"/>
        </w:rPr>
        <w:t xml:space="preserve"> </w:t>
      </w:r>
      <w:proofErr w:type="spellStart"/>
      <w:r w:rsidRPr="00451723">
        <w:rPr>
          <w:rFonts w:ascii="Leelawadee" w:hAnsi="Leelawadee" w:cs="Leelawadee"/>
          <w:sz w:val="24"/>
          <w:szCs w:val="24"/>
          <w:lang w:val="fr-FR"/>
        </w:rPr>
        <w:t>procedural</w:t>
      </w:r>
      <w:proofErr w:type="spellEnd"/>
      <w:r w:rsidRPr="00451723">
        <w:rPr>
          <w:rFonts w:ascii="Leelawadee" w:hAnsi="Leelawadee" w:cs="Leelawadee"/>
          <w:sz w:val="24"/>
          <w:szCs w:val="24"/>
          <w:lang w:val="fr-FR"/>
        </w:rPr>
        <w:t xml:space="preserve"> justice.</w:t>
      </w:r>
    </w:p>
    <w:p w14:paraId="254B5B5C" w14:textId="77777777" w:rsidR="00145F3E" w:rsidRPr="00451723" w:rsidRDefault="00145F3E" w:rsidP="00145F3E">
      <w:pPr>
        <w:jc w:val="both"/>
        <w:rPr>
          <w:rFonts w:ascii="Leelawadee" w:hAnsi="Leelawadee" w:cs="Leelawadee"/>
          <w:sz w:val="24"/>
          <w:szCs w:val="24"/>
          <w:lang w:val="en-US"/>
        </w:rPr>
      </w:pPr>
      <w:r w:rsidRPr="00451723">
        <w:rPr>
          <w:rFonts w:ascii="Leelawadee" w:hAnsi="Leelawadee" w:cs="Leelawadee"/>
          <w:sz w:val="24"/>
          <w:szCs w:val="24"/>
          <w:lang w:val="en-US"/>
        </w:rPr>
        <w:t xml:space="preserve">This call for papers takes as </w:t>
      </w:r>
      <w:proofErr w:type="gramStart"/>
      <w:r w:rsidRPr="00451723">
        <w:rPr>
          <w:rFonts w:ascii="Leelawadee" w:hAnsi="Leelawadee" w:cs="Leelawadee"/>
          <w:sz w:val="24"/>
          <w:szCs w:val="24"/>
          <w:lang w:val="en-US"/>
        </w:rPr>
        <w:t>a starting</w:t>
      </w:r>
      <w:proofErr w:type="gramEnd"/>
      <w:r w:rsidRPr="00451723">
        <w:rPr>
          <w:rFonts w:ascii="Leelawadee" w:hAnsi="Leelawadee" w:cs="Leelawadee"/>
          <w:sz w:val="24"/>
          <w:szCs w:val="24"/>
          <w:lang w:val="en-US"/>
        </w:rPr>
        <w:t xml:space="preserve"> point autonomy as it is defined by international </w:t>
      </w:r>
      <w:proofErr w:type="spellStart"/>
      <w:r w:rsidRPr="00451723">
        <w:rPr>
          <w:rFonts w:ascii="Leelawadee" w:hAnsi="Leelawadee" w:cs="Leelawadee"/>
          <w:sz w:val="24"/>
          <w:szCs w:val="24"/>
          <w:lang w:val="en-US"/>
        </w:rPr>
        <w:t>organisations</w:t>
      </w:r>
      <w:proofErr w:type="spellEnd"/>
      <w:r w:rsidRPr="00451723">
        <w:rPr>
          <w:rFonts w:ascii="Leelawadee" w:hAnsi="Leelawadee" w:cs="Leelawadee"/>
          <w:sz w:val="24"/>
          <w:szCs w:val="24"/>
          <w:lang w:val="en-US"/>
        </w:rPr>
        <w:t xml:space="preserve"> (e.g. OECD, Council of Europe, for the most commonly cited). Essentially centered on an institutional dimension, their definition of autonomy generally covers two elements, identified by Clark in 1984: the power of initiative (the capacity of the local to carry out tasks in the interests of the local) and the power of immunity (the possibility of the local to act without control by higher levels). As for “local”, we refer in this call to the spatial anchorage of the closest possible proximity to the spatial injustices experienced and targeted by territorial development policies. This “local” refers preferentially to the institutional actors (e.g. local and regional authorities), but also to private and associated actors who </w:t>
      </w:r>
      <w:proofErr w:type="spellStart"/>
      <w:r w:rsidRPr="00451723">
        <w:rPr>
          <w:rFonts w:ascii="Leelawadee" w:hAnsi="Leelawadee" w:cs="Leelawadee"/>
          <w:sz w:val="24"/>
          <w:szCs w:val="24"/>
          <w:lang w:val="en-US"/>
        </w:rPr>
        <w:t>mobilise</w:t>
      </w:r>
      <w:proofErr w:type="spellEnd"/>
      <w:r w:rsidRPr="00451723">
        <w:rPr>
          <w:rFonts w:ascii="Leelawadee" w:hAnsi="Leelawadee" w:cs="Leelawadee"/>
          <w:sz w:val="24"/>
          <w:szCs w:val="24"/>
          <w:lang w:val="en-US"/>
        </w:rPr>
        <w:t xml:space="preserve"> themselves to implement, challenge or even to by pass them.</w:t>
      </w:r>
    </w:p>
    <w:p w14:paraId="56FCAEF7" w14:textId="77777777" w:rsidR="00145F3E" w:rsidRPr="00451723" w:rsidRDefault="00145F3E" w:rsidP="00145F3E">
      <w:pPr>
        <w:jc w:val="both"/>
        <w:rPr>
          <w:rFonts w:ascii="Leelawadee" w:hAnsi="Leelawadee" w:cs="Leelawadee"/>
          <w:sz w:val="24"/>
          <w:szCs w:val="24"/>
          <w:lang w:val="en-GB"/>
        </w:rPr>
      </w:pPr>
      <w:r w:rsidRPr="00451723">
        <w:rPr>
          <w:rFonts w:ascii="Leelawadee" w:hAnsi="Leelawadee" w:cs="Leelawadee"/>
          <w:sz w:val="24"/>
          <w:szCs w:val="24"/>
          <w:lang w:val="en-GB"/>
        </w:rPr>
        <w:t xml:space="preserve">This call for papers intends to critically question the links between local autonomy and spatial justice in the context of territorial development policies that aim to strengthen the room for manoeuvre conferred on the local. In particular, this call invites contributions presenting concrete examples of application of or resistance to these policies. The envisaged policies and programmes are, in particular, those set up since 2000 by large international, supra-regional and / or national organisations targeting peripheral, semi-peripheral (but also their inner peripheries) territories and / or for the benefit of minorities. These include for instance the development policies of the World Bank or the UN, the European cohesion policy as well as the European development policies for the rest of the world, </w:t>
      </w:r>
      <w:proofErr w:type="spellStart"/>
      <w:r w:rsidRPr="00451723">
        <w:rPr>
          <w:rFonts w:ascii="Leelawadee" w:hAnsi="Leelawadee" w:cs="Leelawadee"/>
          <w:sz w:val="24"/>
          <w:szCs w:val="24"/>
          <w:lang w:val="en-GB"/>
        </w:rPr>
        <w:t>UsAid</w:t>
      </w:r>
      <w:proofErr w:type="spellEnd"/>
      <w:r w:rsidRPr="00451723">
        <w:rPr>
          <w:rFonts w:ascii="Leelawadee" w:hAnsi="Leelawadee" w:cs="Leelawadee"/>
          <w:sz w:val="24"/>
          <w:szCs w:val="24"/>
          <w:lang w:val="en-GB"/>
        </w:rPr>
        <w:t xml:space="preserve"> national development programs, etc.). </w:t>
      </w:r>
    </w:p>
    <w:p w14:paraId="36D10BB4" w14:textId="77777777" w:rsidR="00145F3E" w:rsidRPr="00451723" w:rsidRDefault="00145F3E" w:rsidP="00145F3E">
      <w:pPr>
        <w:jc w:val="both"/>
        <w:rPr>
          <w:rFonts w:ascii="Leelawadee" w:hAnsi="Leelawadee" w:cs="Leelawadee"/>
          <w:sz w:val="24"/>
          <w:szCs w:val="24"/>
          <w:lang w:val="en-GB"/>
        </w:rPr>
      </w:pPr>
      <w:r w:rsidRPr="00451723">
        <w:rPr>
          <w:rFonts w:ascii="Leelawadee" w:hAnsi="Leelawadee" w:cs="Leelawadee"/>
          <w:sz w:val="24"/>
          <w:szCs w:val="24"/>
          <w:lang w:val="en-GB"/>
        </w:rPr>
        <w:t xml:space="preserve">This call is not about these policies as such. Some critical scholars have already largely analysed the ethical and epistemic limits of such international positions and approaches (e.g., Duffield, 2002, </w:t>
      </w:r>
      <w:proofErr w:type="spellStart"/>
      <w:r w:rsidRPr="00451723">
        <w:rPr>
          <w:rFonts w:ascii="Leelawadee" w:hAnsi="Leelawadee" w:cs="Leelawadee"/>
          <w:sz w:val="24"/>
          <w:szCs w:val="24"/>
          <w:lang w:val="en-GB"/>
        </w:rPr>
        <w:t>Ilcan</w:t>
      </w:r>
      <w:proofErr w:type="spellEnd"/>
      <w:r w:rsidRPr="00451723">
        <w:rPr>
          <w:rFonts w:ascii="Leelawadee" w:hAnsi="Leelawadee" w:cs="Leelawadee"/>
          <w:sz w:val="24"/>
          <w:szCs w:val="24"/>
          <w:lang w:val="en-GB"/>
        </w:rPr>
        <w:t xml:space="preserve"> and </w:t>
      </w:r>
      <w:proofErr w:type="spellStart"/>
      <w:r w:rsidRPr="00451723">
        <w:rPr>
          <w:rFonts w:ascii="Leelawadee" w:hAnsi="Leelawadee" w:cs="Leelawadee"/>
          <w:sz w:val="24"/>
          <w:szCs w:val="24"/>
          <w:lang w:val="en-GB"/>
        </w:rPr>
        <w:t>Lacey</w:t>
      </w:r>
      <w:proofErr w:type="spellEnd"/>
      <w:r w:rsidRPr="00451723">
        <w:rPr>
          <w:rFonts w:ascii="Leelawadee" w:hAnsi="Leelawadee" w:cs="Leelawadee"/>
          <w:sz w:val="24"/>
          <w:szCs w:val="24"/>
          <w:lang w:val="en-GB"/>
        </w:rPr>
        <w:t>, 2011). Nor is it our intention to discuss the institutional evolutions allowing this transfer of competences to the local from the perspective of the political and legal sciences, the latter being already well discussed in the specialist literature</w:t>
      </w:r>
      <w:r w:rsidRPr="00451723">
        <w:rPr>
          <w:rStyle w:val="Marquenotebasdepage"/>
          <w:rFonts w:ascii="Leelawadee" w:hAnsi="Leelawadee" w:cs="Leelawadee"/>
          <w:sz w:val="24"/>
          <w:szCs w:val="24"/>
          <w:lang w:val="en-GB"/>
        </w:rPr>
        <w:footnoteReference w:id="3"/>
      </w:r>
      <w:r w:rsidRPr="00451723">
        <w:rPr>
          <w:rFonts w:ascii="Leelawadee" w:hAnsi="Leelawadee" w:cs="Leelawadee"/>
          <w:sz w:val="24"/>
          <w:szCs w:val="24"/>
          <w:lang w:val="en-GB"/>
        </w:rPr>
        <w:t>. The objective here is to focus on what policies that could be described as development policies empowering the local produce in terms of spatial justice from the point of view of social sciences (geography, sociology, anthropology) and from the local (i.e. based on field work, not only urban). In this broad context, this call for papers specifically addresses three questions:</w:t>
      </w:r>
    </w:p>
    <w:p w14:paraId="0CBAC74B" w14:textId="77777777" w:rsidR="00145F3E" w:rsidRPr="00B237E1" w:rsidRDefault="00145F3E" w:rsidP="00145F3E">
      <w:pPr>
        <w:jc w:val="both"/>
        <w:rPr>
          <w:rFonts w:ascii="Leelawadee" w:eastAsia="Times New Roman" w:hAnsi="Leelawadee" w:cs="Leelawadee"/>
          <w:b/>
          <w:sz w:val="24"/>
          <w:szCs w:val="24"/>
          <w:lang w:val="en-US"/>
        </w:rPr>
      </w:pPr>
      <w:r w:rsidRPr="00B237E1">
        <w:rPr>
          <w:rFonts w:ascii="Leelawadee" w:eastAsia="Times New Roman" w:hAnsi="Leelawadee" w:cs="Leelawadee"/>
          <w:b/>
          <w:sz w:val="24"/>
          <w:szCs w:val="24"/>
          <w:lang w:val="en-US"/>
        </w:rPr>
        <w:t>1/ How does the local grasp these recent territorial development policies? In particular, do these policies support a more equitable spatial distribution of wealth and opportunities?</w:t>
      </w:r>
    </w:p>
    <w:p w14:paraId="747C45FC" w14:textId="77777777" w:rsidR="00145F3E" w:rsidRPr="00451723" w:rsidRDefault="00145F3E" w:rsidP="00145F3E">
      <w:pPr>
        <w:jc w:val="both"/>
        <w:rPr>
          <w:rFonts w:ascii="Leelawadee" w:eastAsia="Times New Roman" w:hAnsi="Leelawadee" w:cs="Leelawadee"/>
          <w:sz w:val="24"/>
          <w:szCs w:val="24"/>
          <w:lang w:val="en-GB"/>
        </w:rPr>
      </w:pPr>
      <w:r w:rsidRPr="00451723">
        <w:rPr>
          <w:rFonts w:ascii="Leelawadee" w:eastAsia="Times New Roman" w:hAnsi="Leelawadee" w:cs="Leelawadee"/>
          <w:sz w:val="24"/>
          <w:szCs w:val="24"/>
          <w:lang w:val="en-GB"/>
        </w:rPr>
        <w:t>In a first axis, this call suggests characterising the local development actions instigated under the initiative of the reinforced autonomy, or in resistance to it. The purpose is to document, specify and put into perspective what this generalised injunction produces in different contexts, in terms of distributive justice. What injustices are targeted? What concrete results are achieved (to whose benefit and at whose expense)? We aim to investigate the capacity of the local to control the production of space in a more just manner (</w:t>
      </w:r>
      <w:proofErr w:type="spellStart"/>
      <w:r w:rsidRPr="00451723">
        <w:rPr>
          <w:rFonts w:ascii="Leelawadee" w:eastAsia="Times New Roman" w:hAnsi="Leelawadee" w:cs="Leelawadee"/>
          <w:sz w:val="24"/>
          <w:szCs w:val="24"/>
          <w:lang w:val="en-GB"/>
        </w:rPr>
        <w:t>DeFilippis</w:t>
      </w:r>
      <w:proofErr w:type="spellEnd"/>
      <w:r w:rsidRPr="00451723">
        <w:rPr>
          <w:rFonts w:ascii="Leelawadee" w:eastAsia="Times New Roman" w:hAnsi="Leelawadee" w:cs="Leelawadee"/>
          <w:sz w:val="24"/>
          <w:szCs w:val="24"/>
          <w:lang w:val="en-GB"/>
        </w:rPr>
        <w:t>, 1999).</w:t>
      </w:r>
    </w:p>
    <w:p w14:paraId="5E95C829" w14:textId="77777777" w:rsidR="00145F3E" w:rsidRPr="00B237E1" w:rsidRDefault="00145F3E" w:rsidP="00145F3E">
      <w:pPr>
        <w:jc w:val="both"/>
        <w:rPr>
          <w:rFonts w:ascii="Leelawadee" w:eastAsia="Times New Roman" w:hAnsi="Leelawadee" w:cs="Leelawadee"/>
          <w:b/>
          <w:sz w:val="24"/>
          <w:szCs w:val="24"/>
          <w:lang w:val="en-GB"/>
        </w:rPr>
      </w:pPr>
      <w:r w:rsidRPr="00B237E1">
        <w:rPr>
          <w:rFonts w:ascii="Leelawadee" w:eastAsia="Times New Roman" w:hAnsi="Leelawadee" w:cs="Leelawadee"/>
          <w:b/>
          <w:sz w:val="24"/>
          <w:szCs w:val="24"/>
          <w:lang w:val="fr-FR"/>
        </w:rPr>
        <w:t xml:space="preserve">2 / By </w:t>
      </w:r>
      <w:proofErr w:type="spellStart"/>
      <w:r w:rsidRPr="00B237E1">
        <w:rPr>
          <w:rFonts w:ascii="Leelawadee" w:eastAsia="Times New Roman" w:hAnsi="Leelawadee" w:cs="Leelawadee"/>
          <w:b/>
          <w:sz w:val="24"/>
          <w:szCs w:val="24"/>
          <w:lang w:val="fr-FR"/>
        </w:rPr>
        <w:t>whom</w:t>
      </w:r>
      <w:proofErr w:type="spellEnd"/>
      <w:r w:rsidRPr="00B237E1">
        <w:rPr>
          <w:rFonts w:ascii="Leelawadee" w:eastAsia="Times New Roman" w:hAnsi="Leelawadee" w:cs="Leelawadee"/>
          <w:b/>
          <w:sz w:val="24"/>
          <w:szCs w:val="24"/>
          <w:lang w:val="fr-FR"/>
        </w:rPr>
        <w:t xml:space="preserve"> and </w:t>
      </w:r>
      <w:proofErr w:type="spellStart"/>
      <w:r w:rsidRPr="00B237E1">
        <w:rPr>
          <w:rFonts w:ascii="Leelawadee" w:eastAsia="Times New Roman" w:hAnsi="Leelawadee" w:cs="Leelawadee"/>
          <w:b/>
          <w:sz w:val="24"/>
          <w:szCs w:val="24"/>
          <w:lang w:val="fr-FR"/>
        </w:rPr>
        <w:t>with</w:t>
      </w:r>
      <w:proofErr w:type="spellEnd"/>
      <w:r w:rsidRPr="00B237E1">
        <w:rPr>
          <w:rFonts w:ascii="Leelawadee" w:eastAsia="Times New Roman" w:hAnsi="Leelawadee" w:cs="Leelawadee"/>
          <w:b/>
          <w:sz w:val="24"/>
          <w:szCs w:val="24"/>
          <w:lang w:val="fr-FR"/>
        </w:rPr>
        <w:t xml:space="preserve"> </w:t>
      </w:r>
      <w:proofErr w:type="spellStart"/>
      <w:r w:rsidRPr="00B237E1">
        <w:rPr>
          <w:rFonts w:ascii="Leelawadee" w:eastAsia="Times New Roman" w:hAnsi="Leelawadee" w:cs="Leelawadee"/>
          <w:b/>
          <w:sz w:val="24"/>
          <w:szCs w:val="24"/>
          <w:lang w:val="fr-FR"/>
        </w:rPr>
        <w:t>whom</w:t>
      </w:r>
      <w:proofErr w:type="spellEnd"/>
      <w:r w:rsidRPr="00B237E1">
        <w:rPr>
          <w:rFonts w:ascii="Leelawadee" w:eastAsia="Times New Roman" w:hAnsi="Leelawadee" w:cs="Leelawadee"/>
          <w:b/>
          <w:sz w:val="24"/>
          <w:szCs w:val="24"/>
          <w:lang w:val="fr-FR"/>
        </w:rPr>
        <w:t xml:space="preserve">? </w:t>
      </w:r>
      <w:r w:rsidRPr="00B237E1">
        <w:rPr>
          <w:rFonts w:ascii="Leelawadee" w:eastAsia="Times New Roman" w:hAnsi="Leelawadee" w:cs="Leelawadee"/>
          <w:b/>
          <w:sz w:val="24"/>
          <w:szCs w:val="24"/>
          <w:lang w:val="en-GB"/>
        </w:rPr>
        <w:t>What initiatives, what checks are carried out at the organisational and procedural levels, in the proposed "democratic renewal"?</w:t>
      </w:r>
    </w:p>
    <w:p w14:paraId="332CB13A" w14:textId="77777777" w:rsidR="00145F3E" w:rsidRPr="00451723" w:rsidRDefault="00145F3E" w:rsidP="00145F3E">
      <w:pPr>
        <w:jc w:val="both"/>
        <w:rPr>
          <w:rFonts w:ascii="Leelawadee" w:hAnsi="Leelawadee" w:cs="Leelawadee"/>
          <w:sz w:val="24"/>
          <w:szCs w:val="24"/>
          <w:lang w:val="fr-FR"/>
        </w:rPr>
      </w:pPr>
      <w:r w:rsidRPr="00451723">
        <w:rPr>
          <w:rFonts w:ascii="Leelawadee" w:hAnsi="Leelawadee" w:cs="Leelawadee"/>
          <w:sz w:val="24"/>
          <w:szCs w:val="24"/>
          <w:lang w:val="en-GB"/>
        </w:rPr>
        <w:t xml:space="preserve">In a second axis, this call suggests to characterising the adaptations that this reinforced autonomy can mean at the organisational and democratic level, at the local level. What are the effects in terms of procedural justice? In addition, to what extent does enhanced local autonomy in the management of development policies allow better access for the excluded, minorities, those to whom these spatial justice policies are supposed to benefit, to decision-making? This part of the call aims to examine head-on the participative processes set up for and by local self-government. Beyond the mere access to the agenda, the question posed is that of the reality of the rebalancing of powers within the decision-making process by the local authorities. Do territorial authorities, as </w:t>
      </w:r>
      <w:proofErr w:type="spellStart"/>
      <w:r w:rsidRPr="00451723">
        <w:rPr>
          <w:rFonts w:ascii="Leelawadee" w:hAnsi="Leelawadee" w:cs="Leelawadee"/>
          <w:sz w:val="24"/>
          <w:szCs w:val="24"/>
          <w:lang w:val="en-GB"/>
        </w:rPr>
        <w:t>Preciado</w:t>
      </w:r>
      <w:proofErr w:type="spellEnd"/>
      <w:r w:rsidRPr="00451723">
        <w:rPr>
          <w:rFonts w:ascii="Leelawadee" w:hAnsi="Leelawadee" w:cs="Leelawadee"/>
          <w:sz w:val="24"/>
          <w:szCs w:val="24"/>
          <w:lang w:val="en-GB"/>
        </w:rPr>
        <w:t xml:space="preserve"> and </w:t>
      </w:r>
      <w:proofErr w:type="spellStart"/>
      <w:r w:rsidRPr="00451723">
        <w:rPr>
          <w:rFonts w:ascii="Leelawadee" w:hAnsi="Leelawadee" w:cs="Leelawadee"/>
          <w:sz w:val="24"/>
          <w:szCs w:val="24"/>
          <w:lang w:val="en-GB"/>
        </w:rPr>
        <w:t>Uc</w:t>
      </w:r>
      <w:proofErr w:type="spellEnd"/>
      <w:r w:rsidRPr="00451723">
        <w:rPr>
          <w:rFonts w:ascii="Leelawadee" w:hAnsi="Leelawadee" w:cs="Leelawadee"/>
          <w:sz w:val="24"/>
          <w:szCs w:val="24"/>
          <w:lang w:val="en-GB"/>
        </w:rPr>
        <w:t xml:space="preserve"> could hope, represent </w:t>
      </w:r>
      <w:r w:rsidRPr="00451723">
        <w:rPr>
          <w:rFonts w:ascii="Leelawadee" w:hAnsi="Leelawadee" w:cs="Leelawadee"/>
          <w:i/>
          <w:sz w:val="24"/>
          <w:szCs w:val="24"/>
          <w:lang w:val="en-GB"/>
        </w:rPr>
        <w:t>"both decolonising practices of resistance and the creation of local power"</w:t>
      </w:r>
      <w:r w:rsidRPr="00451723">
        <w:rPr>
          <w:rFonts w:ascii="Leelawadee" w:hAnsi="Leelawadee" w:cs="Leelawadee"/>
          <w:sz w:val="24"/>
          <w:szCs w:val="24"/>
          <w:lang w:val="en-GB"/>
        </w:rPr>
        <w:t xml:space="preserve"> (2010)? </w:t>
      </w:r>
      <w:r w:rsidRPr="00451723">
        <w:rPr>
          <w:rFonts w:ascii="Leelawadee" w:hAnsi="Leelawadee" w:cs="Leelawadee"/>
          <w:sz w:val="24"/>
          <w:szCs w:val="24"/>
          <w:lang w:val="fr-FR"/>
        </w:rPr>
        <w:t xml:space="preserve">Or are </w:t>
      </w:r>
      <w:proofErr w:type="spellStart"/>
      <w:r w:rsidRPr="00451723">
        <w:rPr>
          <w:rFonts w:ascii="Leelawadee" w:hAnsi="Leelawadee" w:cs="Leelawadee"/>
          <w:sz w:val="24"/>
          <w:szCs w:val="24"/>
          <w:lang w:val="fr-FR"/>
        </w:rPr>
        <w:t>they</w:t>
      </w:r>
      <w:proofErr w:type="spellEnd"/>
      <w:r w:rsidRPr="00451723">
        <w:rPr>
          <w:rFonts w:ascii="Leelawadee" w:hAnsi="Leelawadee" w:cs="Leelawadee"/>
          <w:sz w:val="24"/>
          <w:szCs w:val="24"/>
          <w:lang w:val="fr-FR"/>
        </w:rPr>
        <w:t xml:space="preserve"> </w:t>
      </w:r>
      <w:proofErr w:type="spellStart"/>
      <w:r w:rsidRPr="00451723">
        <w:rPr>
          <w:rFonts w:ascii="Leelawadee" w:hAnsi="Leelawadee" w:cs="Leelawadee"/>
          <w:sz w:val="24"/>
          <w:szCs w:val="24"/>
          <w:lang w:val="fr-FR"/>
        </w:rPr>
        <w:t>just</w:t>
      </w:r>
      <w:proofErr w:type="spellEnd"/>
      <w:r w:rsidRPr="00451723">
        <w:rPr>
          <w:rFonts w:ascii="Leelawadee" w:hAnsi="Leelawadee" w:cs="Leelawadee"/>
          <w:sz w:val="24"/>
          <w:szCs w:val="24"/>
          <w:lang w:val="fr-FR"/>
        </w:rPr>
        <w:t xml:space="preserve"> a </w:t>
      </w:r>
      <w:proofErr w:type="spellStart"/>
      <w:r w:rsidRPr="00451723">
        <w:rPr>
          <w:rFonts w:ascii="Leelawadee" w:hAnsi="Leelawadee" w:cs="Leelawadee"/>
          <w:sz w:val="24"/>
          <w:szCs w:val="24"/>
          <w:lang w:val="fr-FR"/>
        </w:rPr>
        <w:t>kind</w:t>
      </w:r>
      <w:proofErr w:type="spellEnd"/>
      <w:r w:rsidRPr="00451723">
        <w:rPr>
          <w:rFonts w:ascii="Leelawadee" w:hAnsi="Leelawadee" w:cs="Leelawadee"/>
          <w:sz w:val="24"/>
          <w:szCs w:val="24"/>
          <w:lang w:val="fr-FR"/>
        </w:rPr>
        <w:t xml:space="preserve"> of second best?</w:t>
      </w:r>
    </w:p>
    <w:p w14:paraId="5497B9DD" w14:textId="77777777" w:rsidR="00145F3E" w:rsidRPr="00B237E1" w:rsidRDefault="00145F3E" w:rsidP="00145F3E">
      <w:pPr>
        <w:jc w:val="both"/>
        <w:rPr>
          <w:rFonts w:ascii="Leelawadee" w:eastAsia="Times New Roman" w:hAnsi="Leelawadee" w:cs="Leelawadee"/>
          <w:b/>
          <w:sz w:val="24"/>
          <w:szCs w:val="24"/>
          <w:lang w:val="en-US"/>
        </w:rPr>
      </w:pPr>
      <w:r w:rsidRPr="00B237E1">
        <w:rPr>
          <w:rFonts w:ascii="Leelawadee" w:eastAsia="Times New Roman" w:hAnsi="Leelawadee" w:cs="Leelawadee"/>
          <w:b/>
          <w:sz w:val="24"/>
          <w:szCs w:val="24"/>
          <w:lang w:val="en-US"/>
        </w:rPr>
        <w:t>3/ Beyond the effects in terms of procedural and distributive justice in the targeted territory, what does local empowerment produce at different levels and between them?</w:t>
      </w:r>
    </w:p>
    <w:p w14:paraId="5BC22B2D" w14:textId="77777777" w:rsidR="00145F3E" w:rsidRPr="00451723" w:rsidRDefault="00145F3E" w:rsidP="00145F3E">
      <w:pPr>
        <w:jc w:val="both"/>
        <w:rPr>
          <w:rFonts w:ascii="Leelawadee" w:hAnsi="Leelawadee" w:cs="Leelawadee"/>
          <w:sz w:val="24"/>
          <w:szCs w:val="24"/>
          <w:lang w:val="en-GB"/>
        </w:rPr>
      </w:pPr>
      <w:r w:rsidRPr="00451723">
        <w:rPr>
          <w:rFonts w:ascii="Leelawadee" w:hAnsi="Leelawadee" w:cs="Leelawadee"/>
          <w:sz w:val="24"/>
          <w:szCs w:val="24"/>
          <w:lang w:val="en-GB"/>
        </w:rPr>
        <w:t xml:space="preserve">The third axis of this call invites analyses on the social, economic and political consequences of scalar reshuffling produced by local empowerment. At all levels, from the local to the national (as well as within the "local territory" itself), the empowerment agenda often represents, under the guise of valuing local traditions and identities, a spatial xenophobia that does not say its name, a form of </w:t>
      </w:r>
      <w:r w:rsidRPr="00451723">
        <w:rPr>
          <w:rFonts w:ascii="Leelawadee" w:hAnsi="Leelawadee" w:cs="Leelawadee"/>
          <w:i/>
          <w:sz w:val="24"/>
          <w:szCs w:val="24"/>
          <w:lang w:val="en-GB"/>
        </w:rPr>
        <w:t>"territorial discrimination"</w:t>
      </w:r>
      <w:r w:rsidRPr="00451723">
        <w:rPr>
          <w:rFonts w:ascii="Leelawadee" w:hAnsi="Leelawadee" w:cs="Leelawadee"/>
          <w:sz w:val="24"/>
          <w:szCs w:val="24"/>
          <w:lang w:val="en-GB"/>
        </w:rPr>
        <w:t xml:space="preserve"> (Hancock et al., 2016) or </w:t>
      </w:r>
      <w:r w:rsidRPr="00451723">
        <w:rPr>
          <w:rFonts w:ascii="Leelawadee" w:hAnsi="Leelawadee" w:cs="Leelawadee"/>
          <w:i/>
          <w:sz w:val="24"/>
          <w:szCs w:val="24"/>
          <w:lang w:val="en-GB"/>
        </w:rPr>
        <w:t>"territorial stigmatisation"</w:t>
      </w:r>
      <w:r w:rsidRPr="00451723">
        <w:rPr>
          <w:rFonts w:ascii="Leelawadee" w:hAnsi="Leelawadee" w:cs="Leelawadee"/>
          <w:sz w:val="24"/>
          <w:szCs w:val="24"/>
          <w:lang w:val="en-GB"/>
        </w:rPr>
        <w:t xml:space="preserve"> (</w:t>
      </w:r>
      <w:proofErr w:type="spellStart"/>
      <w:r w:rsidRPr="00451723">
        <w:rPr>
          <w:rFonts w:ascii="Leelawadee" w:hAnsi="Leelawadee" w:cs="Leelawadee"/>
          <w:sz w:val="24"/>
          <w:szCs w:val="24"/>
          <w:lang w:val="en-GB"/>
        </w:rPr>
        <w:t>Wacquant</w:t>
      </w:r>
      <w:proofErr w:type="spellEnd"/>
      <w:r w:rsidRPr="00451723">
        <w:rPr>
          <w:rFonts w:ascii="Leelawadee" w:hAnsi="Leelawadee" w:cs="Leelawadee"/>
          <w:sz w:val="24"/>
          <w:szCs w:val="24"/>
          <w:lang w:val="en-GB"/>
        </w:rPr>
        <w:t>, 2007). But beyond this expected observation, does it allow the emergence of new forms of cooperation between so-called peripheral areas? Can autonomous local development constitute a "model of joint action"</w:t>
      </w:r>
      <w:r w:rsidRPr="00451723">
        <w:rPr>
          <w:rStyle w:val="Marquenotebasdepage"/>
          <w:rFonts w:ascii="Leelawadee" w:hAnsi="Leelawadee" w:cs="Leelawadee"/>
          <w:sz w:val="24"/>
          <w:szCs w:val="24"/>
          <w:lang w:val="en-GB"/>
        </w:rPr>
        <w:footnoteReference w:id="4"/>
      </w:r>
      <w:r w:rsidRPr="00451723">
        <w:rPr>
          <w:rFonts w:ascii="Leelawadee" w:hAnsi="Leelawadee" w:cs="Leelawadee"/>
          <w:sz w:val="24"/>
          <w:szCs w:val="24"/>
          <w:lang w:val="en-GB"/>
        </w:rPr>
        <w:t xml:space="preserve">? Is it conceivable and achievable in solidarity between populations in a given territory, but also with neighbouring territories and other territorial organisations at higher levels? Or is it, by its logic, condemned to be reactionary? </w:t>
      </w:r>
    </w:p>
    <w:p w14:paraId="5B172F52" w14:textId="77777777" w:rsidR="00324CA2" w:rsidRDefault="00324CA2" w:rsidP="00324CA2">
      <w:pPr>
        <w:pStyle w:val="NormalWeb"/>
        <w:rPr>
          <w:rFonts w:ascii="Georgia" w:hAnsi="Georgia"/>
          <w:b/>
          <w:color w:val="333333"/>
          <w:sz w:val="24"/>
          <w:szCs w:val="24"/>
          <w:lang w:val="en-US"/>
        </w:rPr>
      </w:pPr>
    </w:p>
    <w:p w14:paraId="75DDF49A" w14:textId="34E54866" w:rsidR="00324CA2" w:rsidRPr="00324CA2" w:rsidRDefault="00324CA2" w:rsidP="00324CA2">
      <w:pPr>
        <w:pStyle w:val="NormalWeb"/>
        <w:rPr>
          <w:rFonts w:ascii="Leelawadee" w:hAnsi="Leelawadee" w:cs="Leelawadee"/>
          <w:b/>
          <w:color w:val="333333"/>
          <w:sz w:val="24"/>
          <w:szCs w:val="24"/>
          <w:lang w:val="en-US"/>
        </w:rPr>
      </w:pPr>
      <w:r w:rsidRPr="00324CA2">
        <w:rPr>
          <w:rFonts w:ascii="Leelawadee" w:hAnsi="Leelawadee" w:cs="Leelawadee"/>
          <w:b/>
          <w:color w:val="333333"/>
          <w:sz w:val="24"/>
          <w:szCs w:val="24"/>
          <w:lang w:val="en-US"/>
        </w:rPr>
        <w:t xml:space="preserve">Full texts (see the authors guidelines) expected before </w:t>
      </w:r>
      <w:r w:rsidRPr="00324CA2">
        <w:rPr>
          <w:rFonts w:ascii="Leelawadee" w:hAnsi="Leelawadee" w:cs="Leelawadee"/>
          <w:b/>
          <w:color w:val="333333"/>
          <w:sz w:val="24"/>
          <w:szCs w:val="24"/>
          <w:lang w:val="en-US"/>
        </w:rPr>
        <w:t>February 15th 2019 at</w:t>
      </w:r>
      <w:r w:rsidRPr="00324CA2">
        <w:rPr>
          <w:rFonts w:ascii="Leelawadee" w:hAnsi="Leelawadee" w:cs="Leelawadee"/>
          <w:b/>
          <w:color w:val="333333"/>
          <w:sz w:val="24"/>
          <w:szCs w:val="24"/>
          <w:lang w:val="en-US"/>
        </w:rPr>
        <w:t>:</w:t>
      </w:r>
    </w:p>
    <w:p w14:paraId="5EFDBEBD" w14:textId="77777777" w:rsidR="00324CA2" w:rsidRPr="00324CA2" w:rsidRDefault="00324CA2" w:rsidP="00324CA2">
      <w:pPr>
        <w:pStyle w:val="NormalWeb"/>
        <w:rPr>
          <w:rFonts w:ascii="Leelawadee" w:hAnsi="Leelawadee" w:cs="Leelawadee"/>
          <w:b/>
          <w:color w:val="333333"/>
          <w:sz w:val="24"/>
          <w:szCs w:val="24"/>
        </w:rPr>
      </w:pPr>
      <w:r w:rsidRPr="00324CA2">
        <w:rPr>
          <w:rFonts w:ascii="Leelawadee" w:hAnsi="Leelawadee" w:cs="Leelawadee"/>
          <w:b/>
          <w:color w:val="333333"/>
          <w:sz w:val="24"/>
          <w:szCs w:val="24"/>
        </w:rPr>
        <w:t>cyril.blondel@uni.lu et estelle.evrard@uni.lu</w:t>
      </w:r>
    </w:p>
    <w:p w14:paraId="42FF39A9" w14:textId="77777777" w:rsidR="00145F3E" w:rsidRPr="00451723" w:rsidRDefault="00145F3E" w:rsidP="00145F3E">
      <w:pPr>
        <w:jc w:val="both"/>
        <w:rPr>
          <w:rFonts w:ascii="Leelawadee" w:eastAsia="Times New Roman" w:hAnsi="Leelawadee" w:cs="Leelawadee"/>
          <w:sz w:val="24"/>
          <w:szCs w:val="24"/>
          <w:lang w:val="en-GB"/>
        </w:rPr>
      </w:pPr>
      <w:bookmarkStart w:id="0" w:name="_GoBack"/>
      <w:bookmarkEnd w:id="0"/>
    </w:p>
    <w:p w14:paraId="5453D9D7" w14:textId="77777777" w:rsidR="00451723" w:rsidRPr="00324CA2" w:rsidRDefault="00451723" w:rsidP="00451723">
      <w:pPr>
        <w:jc w:val="both"/>
        <w:rPr>
          <w:rFonts w:ascii="Leelawadee" w:hAnsi="Leelawadee" w:cs="Leelawadee"/>
          <w:b/>
          <w:sz w:val="24"/>
          <w:szCs w:val="24"/>
        </w:rPr>
      </w:pPr>
      <w:r w:rsidRPr="00324CA2">
        <w:rPr>
          <w:rFonts w:ascii="Leelawadee" w:hAnsi="Leelawadee" w:cs="Leelawadee"/>
          <w:b/>
          <w:sz w:val="24"/>
          <w:szCs w:val="24"/>
        </w:rPr>
        <w:t>Indicative bibliography</w:t>
      </w:r>
    </w:p>
    <w:p w14:paraId="2FD8F7F4" w14:textId="77777777" w:rsidR="00451723" w:rsidRPr="00B237E1" w:rsidRDefault="00451723" w:rsidP="00451723">
      <w:pPr>
        <w:pStyle w:val="Bibliographie"/>
        <w:spacing w:after="120"/>
        <w:ind w:left="706" w:hanging="706"/>
        <w:jc w:val="both"/>
        <w:rPr>
          <w:rFonts w:ascii="Leelawadee" w:hAnsi="Leelawadee" w:cs="Leelawadee"/>
          <w:lang w:val="fr-FR"/>
        </w:rPr>
      </w:pPr>
      <w:r w:rsidRPr="00B237E1">
        <w:rPr>
          <w:rFonts w:ascii="Leelawadee" w:hAnsi="Leelawadee" w:cs="Leelawadee"/>
          <w:lang w:val="fr-FR"/>
        </w:rPr>
        <w:t xml:space="preserve">« Gouverner le local à l’Est de l’Europe », </w:t>
      </w:r>
      <w:r w:rsidRPr="00B237E1">
        <w:rPr>
          <w:rFonts w:ascii="Leelawadee" w:hAnsi="Leelawadee" w:cs="Leelawadee"/>
          <w:i/>
          <w:lang w:val="fr-FR"/>
        </w:rPr>
        <w:t>Revue d’Etudes Comparatives Est-Ouest</w:t>
      </w:r>
      <w:r w:rsidRPr="00B237E1">
        <w:rPr>
          <w:rFonts w:ascii="Leelawadee" w:hAnsi="Leelawadee" w:cs="Leelawadee"/>
          <w:lang w:val="fr-FR"/>
        </w:rPr>
        <w:t>, Vol. 2, No. 44, 2013.</w:t>
      </w:r>
    </w:p>
    <w:p w14:paraId="31AD263B" w14:textId="77777777" w:rsidR="00451723" w:rsidRPr="00B237E1" w:rsidRDefault="00451723" w:rsidP="00451723">
      <w:pPr>
        <w:pStyle w:val="Bibliographie"/>
        <w:spacing w:after="120"/>
        <w:ind w:left="706" w:hanging="706"/>
        <w:jc w:val="both"/>
        <w:rPr>
          <w:rFonts w:ascii="Leelawadee" w:hAnsi="Leelawadee" w:cs="Leelawadee"/>
        </w:rPr>
      </w:pPr>
      <w:r w:rsidRPr="00B237E1">
        <w:rPr>
          <w:rFonts w:ascii="Leelawadee" w:hAnsi="Leelawadee" w:cs="Leelawadee"/>
        </w:rPr>
        <w:t xml:space="preserve">« Le gouvernement des villes », </w:t>
      </w:r>
      <w:r w:rsidRPr="00B237E1">
        <w:rPr>
          <w:rFonts w:ascii="Leelawadee" w:hAnsi="Leelawadee" w:cs="Leelawadee"/>
          <w:i/>
        </w:rPr>
        <w:t>Esprit</w:t>
      </w:r>
      <w:r w:rsidRPr="00B237E1">
        <w:rPr>
          <w:rFonts w:ascii="Leelawadee" w:hAnsi="Leelawadee" w:cs="Leelawadee"/>
        </w:rPr>
        <w:t>, No. 2, 2008</w:t>
      </w:r>
    </w:p>
    <w:p w14:paraId="5AA07010" w14:textId="77777777" w:rsidR="00451723" w:rsidRPr="00B237E1" w:rsidRDefault="00451723" w:rsidP="00451723">
      <w:pPr>
        <w:pStyle w:val="Bibliographie"/>
        <w:spacing w:after="120"/>
        <w:ind w:left="706" w:hanging="706"/>
        <w:jc w:val="both"/>
        <w:rPr>
          <w:rFonts w:ascii="Leelawadee" w:hAnsi="Leelawadee" w:cs="Leelawadee"/>
        </w:rPr>
      </w:pPr>
      <w:r w:rsidRPr="00B237E1">
        <w:rPr>
          <w:rFonts w:ascii="Leelawadee" w:hAnsi="Leelawadee" w:cs="Leelawadee"/>
        </w:rPr>
        <w:t xml:space="preserve">« La nouvelle critique urbaine », </w:t>
      </w:r>
      <w:r w:rsidRPr="00B237E1">
        <w:rPr>
          <w:rFonts w:ascii="Leelawadee" w:hAnsi="Leelawadee" w:cs="Leelawadee"/>
          <w:i/>
        </w:rPr>
        <w:t>Pôle Sud</w:t>
      </w:r>
      <w:r w:rsidRPr="00B237E1">
        <w:rPr>
          <w:rFonts w:ascii="Leelawadee" w:hAnsi="Leelawadee" w:cs="Leelawadee"/>
        </w:rPr>
        <w:t xml:space="preserve"> No.1, 2010</w:t>
      </w:r>
    </w:p>
    <w:p w14:paraId="57F7EC5B" w14:textId="77777777" w:rsidR="00451723" w:rsidRPr="00B237E1" w:rsidRDefault="00451723" w:rsidP="00451723">
      <w:pPr>
        <w:pStyle w:val="Bibliographie"/>
        <w:spacing w:after="120"/>
        <w:ind w:left="706" w:hanging="706"/>
        <w:jc w:val="both"/>
        <w:rPr>
          <w:rFonts w:ascii="Leelawadee" w:hAnsi="Leelawadee" w:cs="Leelawadee"/>
        </w:rPr>
      </w:pPr>
      <w:r w:rsidRPr="00B237E1">
        <w:rPr>
          <w:rFonts w:ascii="Leelawadee" w:hAnsi="Leelawadee" w:cs="Leelawadee"/>
        </w:rPr>
        <w:t xml:space="preserve">« Régions, territoires locaux et proximité », </w:t>
      </w:r>
      <w:r w:rsidRPr="00B237E1">
        <w:rPr>
          <w:rFonts w:ascii="Leelawadee" w:hAnsi="Leelawadee" w:cs="Leelawadee"/>
          <w:i/>
        </w:rPr>
        <w:t>Savoir/Agir</w:t>
      </w:r>
      <w:r w:rsidRPr="00B237E1">
        <w:rPr>
          <w:rFonts w:ascii="Leelawadee" w:hAnsi="Leelawadee" w:cs="Leelawadee"/>
        </w:rPr>
        <w:t>, Vol.1, No 11, 2010</w:t>
      </w:r>
    </w:p>
    <w:p w14:paraId="5D333107" w14:textId="77777777" w:rsidR="00451723" w:rsidRPr="00B237E1" w:rsidRDefault="00451723" w:rsidP="00451723">
      <w:pPr>
        <w:pStyle w:val="Bibliographie"/>
        <w:spacing w:after="120"/>
        <w:ind w:left="706" w:hanging="706"/>
        <w:jc w:val="both"/>
        <w:rPr>
          <w:rFonts w:ascii="Leelawadee" w:hAnsi="Leelawadee" w:cs="Leelawadee"/>
        </w:rPr>
      </w:pPr>
      <w:r w:rsidRPr="00B237E1">
        <w:rPr>
          <w:rFonts w:ascii="Leelawadee" w:hAnsi="Leelawadee" w:cs="Leelawadee"/>
        </w:rPr>
        <w:t xml:space="preserve">Brenner, Neil., 2004 </w:t>
      </w:r>
      <w:r w:rsidRPr="00B237E1">
        <w:rPr>
          <w:rFonts w:ascii="Leelawadee" w:hAnsi="Leelawadee" w:cs="Leelawadee"/>
          <w:i/>
          <w:iCs/>
        </w:rPr>
        <w:t>New State Spaces. Urban Governance and the Rescaling of Statehood</w:t>
      </w:r>
      <w:r w:rsidRPr="00B237E1">
        <w:rPr>
          <w:rFonts w:ascii="Leelawadee" w:hAnsi="Leelawadee" w:cs="Leelawadee"/>
        </w:rPr>
        <w:t xml:space="preserve">. </w:t>
      </w:r>
      <w:r w:rsidRPr="00B237E1">
        <w:rPr>
          <w:rFonts w:ascii="Leelawadee" w:hAnsi="Leelawadee" w:cs="Leelawadee"/>
          <w:lang w:val="fr-FR"/>
        </w:rPr>
        <w:t>Oxford</w:t>
      </w:r>
      <w:r w:rsidRPr="00B237E1">
        <w:rPr>
          <w:rFonts w:ascii="Times New Roman" w:hAnsi="Times New Roman" w:cs="Times New Roman"/>
          <w:lang w:val="fr-FR"/>
        </w:rPr>
        <w:t> </w:t>
      </w:r>
      <w:r w:rsidRPr="00B237E1">
        <w:rPr>
          <w:rFonts w:ascii="Leelawadee" w:hAnsi="Leelawadee" w:cs="Leelawadee"/>
          <w:lang w:val="fr-FR"/>
        </w:rPr>
        <w:t xml:space="preserve">; New York: Oxford </w:t>
      </w:r>
      <w:proofErr w:type="spellStart"/>
      <w:r w:rsidRPr="00B237E1">
        <w:rPr>
          <w:rFonts w:ascii="Leelawadee" w:hAnsi="Leelawadee" w:cs="Leelawadee"/>
          <w:lang w:val="fr-FR"/>
        </w:rPr>
        <w:t>University</w:t>
      </w:r>
      <w:proofErr w:type="spellEnd"/>
      <w:r w:rsidRPr="00B237E1">
        <w:rPr>
          <w:rFonts w:ascii="Leelawadee" w:hAnsi="Leelawadee" w:cs="Leelawadee"/>
          <w:lang w:val="fr-FR"/>
        </w:rPr>
        <w:t xml:space="preserve"> </w:t>
      </w:r>
      <w:proofErr w:type="spellStart"/>
      <w:r w:rsidRPr="00B237E1">
        <w:rPr>
          <w:rFonts w:ascii="Leelawadee" w:hAnsi="Leelawadee" w:cs="Leelawadee"/>
          <w:lang w:val="fr-FR"/>
        </w:rPr>
        <w:t>Press</w:t>
      </w:r>
      <w:proofErr w:type="spellEnd"/>
      <w:r w:rsidRPr="00B237E1">
        <w:rPr>
          <w:rFonts w:ascii="Leelawadee" w:hAnsi="Leelawadee" w:cs="Leelawadee"/>
          <w:lang w:val="fr-FR"/>
        </w:rPr>
        <w:t xml:space="preserve">. </w:t>
      </w:r>
    </w:p>
    <w:p w14:paraId="0FECCECF" w14:textId="77777777" w:rsidR="00451723" w:rsidRPr="00B237E1" w:rsidRDefault="00451723" w:rsidP="00451723">
      <w:pPr>
        <w:pStyle w:val="Bibliographie"/>
        <w:spacing w:after="120"/>
        <w:ind w:left="706" w:hanging="706"/>
        <w:jc w:val="both"/>
        <w:rPr>
          <w:rFonts w:ascii="Leelawadee" w:hAnsi="Leelawadee" w:cs="Leelawadee"/>
        </w:rPr>
      </w:pPr>
      <w:r w:rsidRPr="00B237E1">
        <w:rPr>
          <w:rFonts w:ascii="Leelawadee" w:hAnsi="Leelawadee" w:cs="Leelawadee"/>
        </w:rPr>
        <w:t xml:space="preserve">Castellarin, Emmanuel, 2018, « le referendum d’indépendance, catalyseur de la création de frontières », in François Dubet (dir.), </w:t>
      </w:r>
      <w:r w:rsidRPr="00B237E1">
        <w:rPr>
          <w:rFonts w:ascii="Leelawadee" w:hAnsi="Leelawadee" w:cs="Leelawadee"/>
          <w:i/>
        </w:rPr>
        <w:t>Politiques des frontières</w:t>
      </w:r>
      <w:r w:rsidRPr="00B237E1">
        <w:rPr>
          <w:rFonts w:ascii="Leelawadee" w:hAnsi="Leelawadee" w:cs="Leelawadee"/>
        </w:rPr>
        <w:t xml:space="preserve">, Paris : La Découverte. </w:t>
      </w:r>
    </w:p>
    <w:p w14:paraId="0AC698F2" w14:textId="77777777" w:rsidR="00451723" w:rsidRPr="00B237E1" w:rsidRDefault="00451723" w:rsidP="00451723">
      <w:pPr>
        <w:pStyle w:val="Bibliographie"/>
        <w:spacing w:after="120"/>
        <w:ind w:left="706" w:hanging="706"/>
        <w:jc w:val="both"/>
        <w:rPr>
          <w:rFonts w:ascii="Leelawadee" w:hAnsi="Leelawadee" w:cs="Leelawadee"/>
        </w:rPr>
      </w:pPr>
      <w:r w:rsidRPr="00B237E1">
        <w:rPr>
          <w:rFonts w:ascii="Leelawadee" w:hAnsi="Leelawadee" w:cs="Leelawadee"/>
        </w:rPr>
        <w:t xml:space="preserve">Clark, Gordon L., 1984, A theory of local autonomy, </w:t>
      </w:r>
      <w:r w:rsidRPr="00B237E1">
        <w:rPr>
          <w:rFonts w:ascii="Leelawadee" w:hAnsi="Leelawadee" w:cs="Leelawadee"/>
          <w:i/>
        </w:rPr>
        <w:t>Annals of the Association of American Geographers</w:t>
      </w:r>
      <w:r w:rsidRPr="00B237E1">
        <w:rPr>
          <w:rFonts w:ascii="Leelawadee" w:hAnsi="Leelawadee" w:cs="Leelawadee"/>
        </w:rPr>
        <w:t>, Vol.74, No.2, 195-208.</w:t>
      </w:r>
    </w:p>
    <w:p w14:paraId="7FE622CC" w14:textId="77777777" w:rsidR="00451723" w:rsidRPr="00B237E1" w:rsidRDefault="00451723" w:rsidP="00451723">
      <w:pPr>
        <w:pStyle w:val="Bibliographie"/>
        <w:spacing w:after="120"/>
        <w:ind w:left="706" w:hanging="706"/>
        <w:jc w:val="both"/>
        <w:rPr>
          <w:rFonts w:ascii="Leelawadee" w:hAnsi="Leelawadee" w:cs="Leelawadee"/>
        </w:rPr>
      </w:pPr>
      <w:r w:rsidRPr="00B237E1">
        <w:rPr>
          <w:rFonts w:ascii="Leelawadee" w:hAnsi="Leelawadee" w:cs="Leelawadee"/>
        </w:rPr>
        <w:t xml:space="preserve">Conseil de l’Europe, 1985, La charte européenne de l’Autonomie locale, Strasbourg, Disponible sur : </w:t>
      </w:r>
      <w:r w:rsidRPr="00B237E1">
        <w:rPr>
          <w:rFonts w:ascii="Leelawadee" w:hAnsi="Leelawadee" w:cs="Leelawadee"/>
        </w:rPr>
        <w:fldChar w:fldCharType="begin"/>
      </w:r>
      <w:r w:rsidRPr="00B237E1">
        <w:rPr>
          <w:rFonts w:ascii="Leelawadee" w:hAnsi="Leelawadee" w:cs="Leelawadee"/>
        </w:rPr>
        <w:instrText xml:space="preserve"> HYPERLINK "https://rm.coe.int/CoERMPublicCommonSearchServices/DisplayDCTMContent?documentId=090000168007a095" </w:instrText>
      </w:r>
      <w:r w:rsidRPr="00B237E1">
        <w:rPr>
          <w:rFonts w:ascii="Leelawadee" w:hAnsi="Leelawadee" w:cs="Leelawadee"/>
        </w:rPr>
      </w:r>
      <w:r w:rsidRPr="00B237E1">
        <w:rPr>
          <w:rFonts w:ascii="Leelawadee" w:hAnsi="Leelawadee" w:cs="Leelawadee"/>
        </w:rPr>
        <w:fldChar w:fldCharType="separate"/>
      </w:r>
      <w:r w:rsidRPr="00B237E1">
        <w:rPr>
          <w:rFonts w:ascii="Leelawadee" w:hAnsi="Leelawadee" w:cs="Leelawadee"/>
        </w:rPr>
        <w:t>https://rm.coe.int/CoERMPublicCommonSearchServices/DisplayDCTMContent?documentId=090000168007a095</w:t>
      </w:r>
      <w:r w:rsidRPr="00B237E1">
        <w:rPr>
          <w:rFonts w:ascii="Leelawadee" w:hAnsi="Leelawadee" w:cs="Leelawadee"/>
        </w:rPr>
        <w:fldChar w:fldCharType="end"/>
      </w:r>
    </w:p>
    <w:p w14:paraId="3AD1F6BA" w14:textId="77777777" w:rsidR="00451723" w:rsidRPr="00B237E1" w:rsidRDefault="00451723" w:rsidP="00451723">
      <w:pPr>
        <w:autoSpaceDE w:val="0"/>
        <w:autoSpaceDN w:val="0"/>
        <w:adjustRightInd w:val="0"/>
        <w:spacing w:after="120"/>
        <w:ind w:left="706" w:hanging="706"/>
        <w:jc w:val="both"/>
        <w:rPr>
          <w:rStyle w:val="title-text"/>
          <w:rFonts w:ascii="Leelawadee" w:hAnsi="Leelawadee" w:cs="Leelawadee"/>
          <w:lang w:val="en-US"/>
        </w:rPr>
      </w:pPr>
      <w:proofErr w:type="spellStart"/>
      <w:r w:rsidRPr="00B237E1">
        <w:rPr>
          <w:rStyle w:val="title-text"/>
          <w:rFonts w:ascii="Leelawadee" w:hAnsi="Leelawadee" w:cs="Leelawadee"/>
          <w:lang w:val="en-US"/>
        </w:rPr>
        <w:t>DeFilippis</w:t>
      </w:r>
      <w:proofErr w:type="spellEnd"/>
      <w:r w:rsidRPr="00B237E1">
        <w:rPr>
          <w:rStyle w:val="title-text"/>
          <w:rFonts w:ascii="Leelawadee" w:hAnsi="Leelawadee" w:cs="Leelawadee"/>
          <w:lang w:val="en-US"/>
        </w:rPr>
        <w:t xml:space="preserve">, James, 1999, Alternatives to the “New Urban Politics”: finding locality and autonomy in local economic development, </w:t>
      </w:r>
      <w:r w:rsidRPr="00B237E1">
        <w:rPr>
          <w:rStyle w:val="title-text"/>
          <w:rFonts w:ascii="Leelawadee" w:hAnsi="Leelawadee" w:cs="Leelawadee"/>
          <w:i/>
          <w:lang w:val="en-US"/>
        </w:rPr>
        <w:t>Political Geography</w:t>
      </w:r>
      <w:r w:rsidRPr="00B237E1">
        <w:rPr>
          <w:rStyle w:val="title-text"/>
          <w:rFonts w:ascii="Leelawadee" w:hAnsi="Leelawadee" w:cs="Leelawadee"/>
          <w:lang w:val="en-US"/>
        </w:rPr>
        <w:t>, Vol. 18, No. 8, 973-990.</w:t>
      </w:r>
    </w:p>
    <w:p w14:paraId="23F318E9" w14:textId="77777777" w:rsidR="00451723" w:rsidRPr="00B237E1" w:rsidRDefault="00451723" w:rsidP="00451723">
      <w:pPr>
        <w:autoSpaceDE w:val="0"/>
        <w:autoSpaceDN w:val="0"/>
        <w:adjustRightInd w:val="0"/>
        <w:spacing w:after="120"/>
        <w:ind w:left="706" w:hanging="706"/>
        <w:jc w:val="both"/>
        <w:rPr>
          <w:rStyle w:val="title-text"/>
          <w:rFonts w:ascii="Leelawadee" w:hAnsi="Leelawadee" w:cs="Leelawadee"/>
          <w:lang w:val="en-US"/>
        </w:rPr>
      </w:pPr>
      <w:r w:rsidRPr="00B237E1">
        <w:rPr>
          <w:rStyle w:val="title-text"/>
          <w:rFonts w:ascii="Leelawadee" w:hAnsi="Leelawadee" w:cs="Leelawadee"/>
          <w:lang w:val="en-US"/>
        </w:rPr>
        <w:t xml:space="preserve">Duffield, Mark, 2002, “Social reconstruction and the radicalization of development: Aid as a relation of global liberal governance”, Development and Change, Vol. 33, No. 5, </w:t>
      </w:r>
      <w:proofErr w:type="spellStart"/>
      <w:r w:rsidRPr="00B237E1">
        <w:rPr>
          <w:rStyle w:val="title-text"/>
          <w:rFonts w:ascii="Leelawadee" w:hAnsi="Leelawadee" w:cs="Leelawadee"/>
          <w:lang w:val="en-US"/>
        </w:rPr>
        <w:t>pp</w:t>
      </w:r>
      <w:proofErr w:type="spellEnd"/>
      <w:r w:rsidRPr="00B237E1">
        <w:rPr>
          <w:rStyle w:val="title-text"/>
          <w:rFonts w:ascii="Leelawadee" w:hAnsi="Leelawadee" w:cs="Leelawadee"/>
          <w:lang w:val="en-US"/>
        </w:rPr>
        <w:t>- 1049-1071</w:t>
      </w:r>
    </w:p>
    <w:p w14:paraId="400F663B" w14:textId="77777777" w:rsidR="00451723" w:rsidRPr="00B237E1" w:rsidRDefault="00451723" w:rsidP="00451723">
      <w:pPr>
        <w:autoSpaceDE w:val="0"/>
        <w:autoSpaceDN w:val="0"/>
        <w:adjustRightInd w:val="0"/>
        <w:spacing w:after="120"/>
        <w:ind w:left="706" w:hanging="706"/>
        <w:jc w:val="both"/>
        <w:rPr>
          <w:rFonts w:ascii="Leelawadee" w:hAnsi="Leelawadee" w:cs="Leelawadee"/>
        </w:rPr>
      </w:pPr>
      <w:r w:rsidRPr="00B237E1">
        <w:rPr>
          <w:rStyle w:val="uppercase"/>
          <w:rFonts w:ascii="Leelawadee" w:hAnsi="Leelawadee" w:cs="Leelawadee"/>
        </w:rPr>
        <w:t>Emelianoff</w:t>
      </w:r>
      <w:r w:rsidRPr="00B237E1">
        <w:rPr>
          <w:rStyle w:val="bluemilk"/>
          <w:rFonts w:ascii="Leelawadee" w:hAnsi="Leelawadee" w:cs="Leelawadee"/>
        </w:rPr>
        <w:t xml:space="preserve">, Cyria. « Conclusion : la ville durable, vers un modèle d'action conjointe », </w:t>
      </w:r>
      <w:r w:rsidRPr="00B237E1">
        <w:rPr>
          <w:rStyle w:val="bluemilk"/>
          <w:rFonts w:ascii="Leelawadee" w:hAnsi="Leelawadee" w:cs="Leelawadee"/>
          <w:i/>
          <w:iCs/>
        </w:rPr>
        <w:t>Annales des Mines - Responsabilité et environnement</w:t>
      </w:r>
      <w:r w:rsidRPr="00B237E1">
        <w:rPr>
          <w:rStyle w:val="bluemilk"/>
          <w:rFonts w:ascii="Leelawadee" w:hAnsi="Leelawadee" w:cs="Leelawadee"/>
        </w:rPr>
        <w:t>, vol. 52, no. 4, 2008, pp. 68-71</w:t>
      </w:r>
    </w:p>
    <w:p w14:paraId="29D1B921" w14:textId="77777777" w:rsidR="00451723" w:rsidRPr="00B237E1" w:rsidRDefault="00451723" w:rsidP="00451723">
      <w:pPr>
        <w:autoSpaceDE w:val="0"/>
        <w:autoSpaceDN w:val="0"/>
        <w:adjustRightInd w:val="0"/>
        <w:spacing w:after="120"/>
        <w:ind w:left="706" w:hanging="706"/>
        <w:jc w:val="both"/>
        <w:rPr>
          <w:rFonts w:ascii="Leelawadee" w:hAnsi="Leelawadee" w:cs="Leelawadee"/>
        </w:rPr>
      </w:pPr>
      <w:r w:rsidRPr="00B237E1">
        <w:rPr>
          <w:rFonts w:ascii="Leelawadee" w:hAnsi="Leelawadee" w:cs="Leelawadee"/>
        </w:rPr>
        <w:t>Hancock</w:t>
      </w:r>
      <w:r w:rsidRPr="00B237E1">
        <w:rPr>
          <w:rFonts w:ascii="Leelawadee" w:hAnsi="Leelawadee" w:cs="Leelawadee"/>
          <w:bCs/>
        </w:rPr>
        <w:t xml:space="preserve">, Claire, Christine </w:t>
      </w:r>
      <w:r w:rsidRPr="00B237E1">
        <w:rPr>
          <w:rFonts w:ascii="Leelawadee" w:hAnsi="Leelawadee" w:cs="Leelawadee"/>
        </w:rPr>
        <w:t>Lelévrier</w:t>
      </w:r>
      <w:r w:rsidRPr="00B237E1">
        <w:rPr>
          <w:rFonts w:ascii="Leelawadee" w:hAnsi="Leelawadee" w:cs="Leelawadee"/>
          <w:bCs/>
        </w:rPr>
        <w:t xml:space="preserve">, Fabrice </w:t>
      </w:r>
      <w:r w:rsidRPr="00B237E1">
        <w:rPr>
          <w:rFonts w:ascii="Leelawadee" w:hAnsi="Leelawadee" w:cs="Leelawadee"/>
        </w:rPr>
        <w:t>Ripoll</w:t>
      </w:r>
      <w:r w:rsidRPr="00B237E1">
        <w:rPr>
          <w:rFonts w:ascii="Leelawadee" w:hAnsi="Leelawadee" w:cs="Leelawadee"/>
          <w:bCs/>
        </w:rPr>
        <w:t xml:space="preserve"> et Serge </w:t>
      </w:r>
      <w:r w:rsidRPr="00B237E1">
        <w:rPr>
          <w:rFonts w:ascii="Leelawadee" w:hAnsi="Leelawadee" w:cs="Leelawadee"/>
        </w:rPr>
        <w:t>Weber</w:t>
      </w:r>
      <w:r w:rsidRPr="00B237E1">
        <w:rPr>
          <w:rFonts w:ascii="Leelawadee" w:hAnsi="Leelawadee" w:cs="Leelawadee"/>
          <w:bCs/>
        </w:rPr>
        <w:t xml:space="preserve"> (dir.), 2006, </w:t>
      </w:r>
      <w:r w:rsidRPr="00B237E1">
        <w:rPr>
          <w:rFonts w:ascii="Leelawadee" w:hAnsi="Leelawadee" w:cs="Leelawadee"/>
          <w:i/>
          <w:iCs/>
        </w:rPr>
        <w:t>Discriminations territoriales. Entre interpellation politique et sentiment d'injustice des habitants</w:t>
      </w:r>
      <w:r w:rsidRPr="00B237E1">
        <w:rPr>
          <w:rFonts w:ascii="Leelawadee" w:hAnsi="Leelawadee" w:cs="Leelawadee"/>
        </w:rPr>
        <w:t>, Marne-la-Vallée : L'oeil d'or.</w:t>
      </w:r>
    </w:p>
    <w:p w14:paraId="6DB7FCB4" w14:textId="77777777" w:rsidR="00451723" w:rsidRPr="00B237E1" w:rsidRDefault="00451723" w:rsidP="00451723">
      <w:pPr>
        <w:autoSpaceDE w:val="0"/>
        <w:autoSpaceDN w:val="0"/>
        <w:adjustRightInd w:val="0"/>
        <w:spacing w:after="120"/>
        <w:ind w:left="706" w:hanging="706"/>
        <w:jc w:val="both"/>
        <w:rPr>
          <w:rFonts w:ascii="Leelawadee" w:hAnsi="Leelawadee" w:cs="Leelawadee"/>
          <w:lang w:val="en-US"/>
        </w:rPr>
      </w:pPr>
      <w:proofErr w:type="spellStart"/>
      <w:r w:rsidRPr="00B237E1">
        <w:rPr>
          <w:rFonts w:ascii="Leelawadee" w:hAnsi="Leelawadee" w:cs="Leelawadee"/>
          <w:lang w:val="en-US"/>
        </w:rPr>
        <w:t>Ilcan</w:t>
      </w:r>
      <w:proofErr w:type="spellEnd"/>
      <w:r w:rsidRPr="00B237E1">
        <w:rPr>
          <w:rFonts w:ascii="Leelawadee" w:hAnsi="Leelawadee" w:cs="Leelawadee"/>
          <w:lang w:val="en-US"/>
        </w:rPr>
        <w:t xml:space="preserve"> Suzan and Anita Lacey, 2011, Governing the Poor: Exercises of Poverty Reduction, Practices of Global Aid, Montreal: McGill-Queen's University Press </w:t>
      </w:r>
    </w:p>
    <w:p w14:paraId="46667DCD" w14:textId="77777777" w:rsidR="00451723" w:rsidRPr="00B237E1" w:rsidRDefault="00451723" w:rsidP="00451723">
      <w:pPr>
        <w:autoSpaceDE w:val="0"/>
        <w:autoSpaceDN w:val="0"/>
        <w:adjustRightInd w:val="0"/>
        <w:spacing w:after="120"/>
        <w:ind w:left="706" w:hanging="706"/>
        <w:jc w:val="both"/>
        <w:rPr>
          <w:rFonts w:ascii="Leelawadee" w:hAnsi="Leelawadee" w:cs="Leelawadee"/>
        </w:rPr>
      </w:pPr>
      <w:r w:rsidRPr="00B237E1">
        <w:rPr>
          <w:rFonts w:ascii="Leelawadee" w:hAnsi="Leelawadee" w:cs="Leelawadee"/>
        </w:rPr>
        <w:t xml:space="preserve">Preciado Jaime et Pablo Uc, 2010, « La(s) autonomía(s) en América Latina », </w:t>
      </w:r>
      <w:r w:rsidRPr="00B237E1">
        <w:rPr>
          <w:rFonts w:ascii="Leelawadee" w:hAnsi="Leelawadee" w:cs="Leelawadee"/>
          <w:i/>
          <w:iCs/>
        </w:rPr>
        <w:t>L'Ordinaire des Amériques</w:t>
      </w:r>
      <w:r w:rsidRPr="00B237E1">
        <w:rPr>
          <w:rFonts w:ascii="Leelawadee" w:hAnsi="Leelawadee" w:cs="Leelawadee"/>
        </w:rPr>
        <w:t>, No. 214, 199-220.</w:t>
      </w:r>
    </w:p>
    <w:p w14:paraId="64F4F76A" w14:textId="77777777" w:rsidR="00451723" w:rsidRPr="00B237E1" w:rsidRDefault="00451723" w:rsidP="00451723">
      <w:pPr>
        <w:rPr>
          <w:rFonts w:ascii="Leelawadee" w:hAnsi="Leelawadee" w:cs="Leelawadee"/>
          <w:bCs/>
          <w:lang w:val="en-US"/>
        </w:rPr>
      </w:pPr>
      <w:r w:rsidRPr="00B237E1">
        <w:rPr>
          <w:rFonts w:ascii="Leelawadee" w:hAnsi="Leelawadee" w:cs="Leelawadee"/>
          <w:lang w:val="en-US"/>
        </w:rPr>
        <w:t xml:space="preserve">World </w:t>
      </w:r>
      <w:proofErr w:type="gramStart"/>
      <w:r w:rsidRPr="00B237E1">
        <w:rPr>
          <w:rFonts w:ascii="Leelawadee" w:hAnsi="Leelawadee" w:cs="Leelawadee"/>
          <w:lang w:val="en-US"/>
        </w:rPr>
        <w:t>Bank :</w:t>
      </w:r>
      <w:proofErr w:type="gramEnd"/>
      <w:r w:rsidRPr="00B237E1">
        <w:rPr>
          <w:rFonts w:ascii="Leelawadee" w:hAnsi="Leelawadee" w:cs="Leelawadee"/>
          <w:lang w:val="en-US"/>
        </w:rPr>
        <w:t xml:space="preserve"> “</w:t>
      </w:r>
      <w:r w:rsidRPr="00B237E1">
        <w:rPr>
          <w:rFonts w:ascii="Leelawadee" w:hAnsi="Leelawadee" w:cs="Leelawadee"/>
          <w:bCs/>
          <w:lang w:val="en-US"/>
        </w:rPr>
        <w:t>Strengthening Local Governments in Tunisia as a First Step toward Decentralization”, 24</w:t>
      </w:r>
      <w:r w:rsidRPr="00B237E1">
        <w:rPr>
          <w:rFonts w:ascii="Leelawadee" w:hAnsi="Leelawadee" w:cs="Leelawadee"/>
          <w:bCs/>
          <w:vertAlign w:val="superscript"/>
          <w:lang w:val="en-US"/>
        </w:rPr>
        <w:t>th</w:t>
      </w:r>
      <w:r w:rsidRPr="00B237E1">
        <w:rPr>
          <w:rFonts w:ascii="Leelawadee" w:hAnsi="Leelawadee" w:cs="Leelawadee"/>
          <w:bCs/>
          <w:lang w:val="en-US"/>
        </w:rPr>
        <w:t xml:space="preserve"> July 2014, online article: </w:t>
      </w:r>
      <w:hyperlink r:id="rId7" w:history="1">
        <w:r w:rsidRPr="00B237E1">
          <w:rPr>
            <w:rStyle w:val="Lienhypertexte"/>
            <w:rFonts w:ascii="Leelawadee" w:hAnsi="Leelawadee" w:cs="Leelawadee"/>
            <w:bCs/>
            <w:color w:val="auto"/>
            <w:lang w:val="en-US"/>
          </w:rPr>
          <w:t>http://www.worldbank.org/en/news/feature/2014/07/24/strengthening-local-governments-in-tunisia-as-a-first-step-toward-decentralization</w:t>
        </w:r>
      </w:hyperlink>
      <w:r w:rsidRPr="00B237E1">
        <w:rPr>
          <w:rFonts w:ascii="Leelawadee" w:hAnsi="Leelawadee" w:cs="Leelawadee"/>
          <w:bCs/>
          <w:lang w:val="en-US"/>
        </w:rPr>
        <w:t xml:space="preserve"> </w:t>
      </w:r>
    </w:p>
    <w:p w14:paraId="24C48476" w14:textId="77777777" w:rsidR="00451723" w:rsidRPr="00B237E1" w:rsidRDefault="00451723" w:rsidP="00451723">
      <w:pPr>
        <w:rPr>
          <w:rFonts w:ascii="Leelawadee" w:hAnsi="Leelawadee" w:cs="Leelawadee"/>
          <w:lang w:val="en-US"/>
        </w:rPr>
      </w:pPr>
      <w:r w:rsidRPr="00B237E1">
        <w:rPr>
          <w:rFonts w:ascii="Leelawadee" w:hAnsi="Leelawadee" w:cs="Leelawadee"/>
          <w:lang w:val="en-US"/>
        </w:rPr>
        <w:t xml:space="preserve">European Commission, 2013, Communication of the Commission to the European Parliament, the Council, the European Economic and Social Committee and the Committee of the Regions, Empowering Local Authorities in partner countries for enhanced governance and more effective development outcomes, </w:t>
      </w:r>
      <w:proofErr w:type="gramStart"/>
      <w:r w:rsidRPr="00B237E1">
        <w:rPr>
          <w:rFonts w:ascii="Leelawadee" w:hAnsi="Leelawadee" w:cs="Leelawadee"/>
          <w:lang w:val="en-US"/>
        </w:rPr>
        <w:t>COM(</w:t>
      </w:r>
      <w:proofErr w:type="gramEnd"/>
      <w:r w:rsidRPr="00B237E1">
        <w:rPr>
          <w:rFonts w:ascii="Leelawadee" w:hAnsi="Leelawadee" w:cs="Leelawadee"/>
          <w:lang w:val="en-US"/>
        </w:rPr>
        <w:t xml:space="preserve">2013) 280 final, </w:t>
      </w:r>
      <w:hyperlink r:id="rId8" w:history="1">
        <w:r w:rsidRPr="00B237E1">
          <w:rPr>
            <w:rStyle w:val="Lienhypertexte"/>
            <w:rFonts w:ascii="Leelawadee" w:hAnsi="Leelawadee" w:cs="Leelawadee"/>
            <w:color w:val="auto"/>
            <w:lang w:val="en-US"/>
          </w:rPr>
          <w:t>https://ec.europa.eu/europeaid/sites/devco/files/communication-local-authorities-in-partner-countries-com2013280-20130515_en_4.pdf</w:t>
        </w:r>
      </w:hyperlink>
      <w:r w:rsidRPr="00B237E1">
        <w:rPr>
          <w:rFonts w:ascii="Leelawadee" w:hAnsi="Leelawadee" w:cs="Leelawadee"/>
          <w:lang w:val="en-US"/>
        </w:rPr>
        <w:t xml:space="preserve"> </w:t>
      </w:r>
    </w:p>
    <w:p w14:paraId="221A6C60" w14:textId="77777777" w:rsidR="00451723" w:rsidRPr="00B237E1" w:rsidRDefault="00451723" w:rsidP="00451723">
      <w:pPr>
        <w:rPr>
          <w:rFonts w:ascii="Leelawadee" w:hAnsi="Leelawadee" w:cs="Leelawadee"/>
          <w:lang w:val="en-US"/>
        </w:rPr>
      </w:pPr>
    </w:p>
    <w:p w14:paraId="6ABC599E" w14:textId="77777777" w:rsidR="00145F3E" w:rsidRPr="00B237E1" w:rsidRDefault="00145F3E" w:rsidP="00145F3E">
      <w:pPr>
        <w:jc w:val="both"/>
        <w:rPr>
          <w:rFonts w:ascii="Leelawadee" w:eastAsia="Times New Roman" w:hAnsi="Leelawadee" w:cs="Leelawadee"/>
          <w:lang w:val="en-US"/>
        </w:rPr>
      </w:pPr>
    </w:p>
    <w:p w14:paraId="56C6EBD2" w14:textId="77777777" w:rsidR="009F495B" w:rsidRPr="00B237E1" w:rsidRDefault="009F495B">
      <w:pPr>
        <w:rPr>
          <w:rFonts w:ascii="Leelawadee" w:hAnsi="Leelawadee" w:cs="Leelawadee"/>
        </w:rPr>
      </w:pPr>
    </w:p>
    <w:sectPr w:rsidR="009F495B" w:rsidRPr="00B237E1" w:rsidSect="009F495B">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F0218" w14:textId="77777777" w:rsidR="00451723" w:rsidRDefault="00451723" w:rsidP="00145F3E">
      <w:pPr>
        <w:spacing w:after="0" w:line="240" w:lineRule="auto"/>
      </w:pPr>
      <w:r>
        <w:separator/>
      </w:r>
    </w:p>
  </w:endnote>
  <w:endnote w:type="continuationSeparator" w:id="0">
    <w:p w14:paraId="24B9FB4F" w14:textId="77777777" w:rsidR="00451723" w:rsidRDefault="00451723" w:rsidP="0014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Leelawadee">
    <w:panose1 w:val="020B0502040204020203"/>
    <w:charset w:val="00"/>
    <w:family w:val="auto"/>
    <w:pitch w:val="variable"/>
    <w:sig w:usb0="810000AF" w:usb1="4000204B" w:usb2="00000000" w:usb3="00000000" w:csb0="00010001"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1C6EF" w14:textId="77777777" w:rsidR="00451723" w:rsidRDefault="00451723" w:rsidP="00145F3E">
      <w:pPr>
        <w:spacing w:after="0" w:line="240" w:lineRule="auto"/>
      </w:pPr>
      <w:r>
        <w:separator/>
      </w:r>
    </w:p>
  </w:footnote>
  <w:footnote w:type="continuationSeparator" w:id="0">
    <w:p w14:paraId="74675AF7" w14:textId="77777777" w:rsidR="00451723" w:rsidRDefault="00451723" w:rsidP="00145F3E">
      <w:pPr>
        <w:spacing w:after="0" w:line="240" w:lineRule="auto"/>
      </w:pPr>
      <w:r>
        <w:continuationSeparator/>
      </w:r>
    </w:p>
  </w:footnote>
  <w:footnote w:id="1">
    <w:p w14:paraId="4EF43A0C" w14:textId="77777777" w:rsidR="00451723" w:rsidRPr="00451723" w:rsidRDefault="00451723">
      <w:pPr>
        <w:pStyle w:val="Notedebasdepage"/>
      </w:pPr>
      <w:r w:rsidRPr="00451723">
        <w:rPr>
          <w:rStyle w:val="Marquenotebasdepage"/>
        </w:rPr>
        <w:footnoteRef/>
      </w:r>
      <w:r w:rsidRPr="00451723">
        <w:t xml:space="preserve"> </w:t>
      </w:r>
      <w:r w:rsidRPr="00451723">
        <w:rPr>
          <w:szCs w:val="18"/>
          <w:lang w:val="en-US"/>
        </w:rPr>
        <w:t xml:space="preserve">In the French context, see for example number 2 of the journal </w:t>
      </w:r>
      <w:r w:rsidRPr="00451723">
        <w:rPr>
          <w:i/>
          <w:szCs w:val="18"/>
          <w:lang w:val="en-US"/>
        </w:rPr>
        <w:t>Esprit</w:t>
      </w:r>
      <w:r w:rsidRPr="00451723">
        <w:rPr>
          <w:szCs w:val="18"/>
          <w:lang w:val="en-US"/>
        </w:rPr>
        <w:t xml:space="preserve"> dedicated to “</w:t>
      </w:r>
      <w:proofErr w:type="spellStart"/>
      <w:r w:rsidRPr="00451723">
        <w:rPr>
          <w:i/>
          <w:szCs w:val="18"/>
          <w:lang w:val="en-US"/>
        </w:rPr>
        <w:t>gouvernement</w:t>
      </w:r>
      <w:proofErr w:type="spellEnd"/>
      <w:r w:rsidRPr="00451723">
        <w:rPr>
          <w:i/>
          <w:szCs w:val="18"/>
          <w:lang w:val="en-US"/>
        </w:rPr>
        <w:t xml:space="preserve"> des </w:t>
      </w:r>
      <w:proofErr w:type="spellStart"/>
      <w:r w:rsidRPr="00451723">
        <w:rPr>
          <w:i/>
          <w:szCs w:val="18"/>
          <w:lang w:val="en-US"/>
        </w:rPr>
        <w:t>villes</w:t>
      </w:r>
      <w:proofErr w:type="spellEnd"/>
      <w:r w:rsidRPr="00451723">
        <w:rPr>
          <w:szCs w:val="18"/>
          <w:lang w:val="en-US"/>
        </w:rPr>
        <w:t xml:space="preserve">” (2008) or number 1 of the journal </w:t>
      </w:r>
      <w:proofErr w:type="spellStart"/>
      <w:r w:rsidRPr="00451723">
        <w:rPr>
          <w:i/>
          <w:szCs w:val="18"/>
          <w:lang w:val="en-US"/>
        </w:rPr>
        <w:t>Pôle</w:t>
      </w:r>
      <w:proofErr w:type="spellEnd"/>
      <w:r w:rsidRPr="00451723">
        <w:rPr>
          <w:i/>
          <w:szCs w:val="18"/>
          <w:lang w:val="en-US"/>
        </w:rPr>
        <w:t xml:space="preserve"> </w:t>
      </w:r>
      <w:proofErr w:type="spellStart"/>
      <w:r w:rsidRPr="00451723">
        <w:rPr>
          <w:i/>
          <w:szCs w:val="18"/>
          <w:lang w:val="en-US"/>
        </w:rPr>
        <w:t>Sud</w:t>
      </w:r>
      <w:proofErr w:type="spellEnd"/>
      <w:r w:rsidRPr="00451723">
        <w:rPr>
          <w:szCs w:val="18"/>
          <w:lang w:val="en-US"/>
        </w:rPr>
        <w:t xml:space="preserve"> focusing on “</w:t>
      </w:r>
      <w:r w:rsidRPr="00451723">
        <w:rPr>
          <w:i/>
          <w:szCs w:val="18"/>
          <w:lang w:val="en-US"/>
        </w:rPr>
        <w:t xml:space="preserve">la nouvelle critique </w:t>
      </w:r>
      <w:proofErr w:type="spellStart"/>
      <w:r w:rsidRPr="00451723">
        <w:rPr>
          <w:i/>
          <w:szCs w:val="18"/>
          <w:lang w:val="en-US"/>
        </w:rPr>
        <w:t>urbaine</w:t>
      </w:r>
      <w:proofErr w:type="spellEnd"/>
      <w:r w:rsidRPr="00451723">
        <w:rPr>
          <w:szCs w:val="18"/>
          <w:lang w:val="en-US"/>
        </w:rPr>
        <w:t>” (2010).</w:t>
      </w:r>
    </w:p>
  </w:footnote>
  <w:footnote w:id="2">
    <w:p w14:paraId="0A63BAF9" w14:textId="77777777" w:rsidR="00451723" w:rsidRDefault="00451723">
      <w:pPr>
        <w:pStyle w:val="Notedebasdepage"/>
      </w:pPr>
      <w:r w:rsidRPr="00451723">
        <w:rPr>
          <w:rStyle w:val="Marquenotebasdepage"/>
        </w:rPr>
        <w:footnoteRef/>
      </w:r>
      <w:r w:rsidRPr="00451723">
        <w:t xml:space="preserve"> </w:t>
      </w:r>
      <w:r w:rsidRPr="00451723">
        <w:rPr>
          <w:szCs w:val="18"/>
          <w:lang w:val="en-US"/>
        </w:rPr>
        <w:t>Described as lead urban specialist at the World Bank</w:t>
      </w:r>
      <w:r>
        <w:rPr>
          <w:szCs w:val="18"/>
          <w:lang w:val="en-US"/>
        </w:rPr>
        <w:t>.</w:t>
      </w:r>
    </w:p>
  </w:footnote>
  <w:footnote w:id="3">
    <w:p w14:paraId="2F08A96A" w14:textId="77777777" w:rsidR="00451723" w:rsidRPr="00451723" w:rsidRDefault="00451723" w:rsidP="00145F3E">
      <w:pPr>
        <w:pStyle w:val="Notedebasdepage"/>
      </w:pPr>
      <w:r w:rsidRPr="00451723">
        <w:rPr>
          <w:rStyle w:val="Marquenotebasdepage"/>
        </w:rPr>
        <w:footnoteRef/>
      </w:r>
      <w:r w:rsidRPr="00451723">
        <w:t xml:space="preserve"> </w:t>
      </w:r>
      <w:proofErr w:type="spellStart"/>
      <w:r w:rsidRPr="00451723">
        <w:t>See</w:t>
      </w:r>
      <w:proofErr w:type="spellEnd"/>
      <w:r w:rsidRPr="00451723">
        <w:t xml:space="preserve"> for </w:t>
      </w:r>
      <w:proofErr w:type="spellStart"/>
      <w:r w:rsidRPr="00451723">
        <w:t>example</w:t>
      </w:r>
      <w:proofErr w:type="spellEnd"/>
      <w:r w:rsidRPr="00451723">
        <w:t xml:space="preserve"> No 44 of the “</w:t>
      </w:r>
      <w:r w:rsidRPr="00451723">
        <w:rPr>
          <w:i/>
        </w:rPr>
        <w:t>Revue d’Etudes Comparatives Est-Ouest</w:t>
      </w:r>
      <w:r w:rsidRPr="00451723">
        <w:t xml:space="preserve">” </w:t>
      </w:r>
      <w:proofErr w:type="spellStart"/>
      <w:r w:rsidRPr="00451723">
        <w:t>entitled</w:t>
      </w:r>
      <w:proofErr w:type="spellEnd"/>
      <w:r w:rsidRPr="00451723">
        <w:t xml:space="preserve"> « </w:t>
      </w:r>
      <w:r w:rsidRPr="00451723">
        <w:rPr>
          <w:i/>
        </w:rPr>
        <w:t>Gouverner le local à l’Est de l’Europe</w:t>
      </w:r>
      <w:r w:rsidRPr="00451723">
        <w:t> » (2013), or the No 44 of the journal « </w:t>
      </w:r>
      <w:r w:rsidRPr="00451723">
        <w:rPr>
          <w:i/>
        </w:rPr>
        <w:t>Savoir/agir » :</w:t>
      </w:r>
      <w:r w:rsidRPr="00451723">
        <w:t xml:space="preserve"> </w:t>
      </w:r>
      <w:r w:rsidRPr="00451723">
        <w:rPr>
          <w:rFonts w:cstheme="minorHAnsi"/>
          <w:i/>
        </w:rPr>
        <w:t>« Régions, territoires locaux et proximité »</w:t>
      </w:r>
      <w:r w:rsidRPr="00451723">
        <w:rPr>
          <w:rFonts w:cstheme="minorHAnsi"/>
        </w:rPr>
        <w:t xml:space="preserve"> (2010).</w:t>
      </w:r>
    </w:p>
  </w:footnote>
  <w:footnote w:id="4">
    <w:p w14:paraId="7A5821DE" w14:textId="77777777" w:rsidR="00451723" w:rsidRDefault="00451723">
      <w:pPr>
        <w:pStyle w:val="Notedebasdepage"/>
      </w:pPr>
      <w:r>
        <w:rPr>
          <w:rStyle w:val="Marquenotebasdepage"/>
        </w:rPr>
        <w:footnoteRef/>
      </w:r>
      <w:r>
        <w:t xml:space="preserve"> </w:t>
      </w:r>
      <w:r w:rsidRPr="00451723">
        <w:rPr>
          <w:lang w:val="en-GB"/>
        </w:rPr>
        <w:t xml:space="preserve">Following the example of what </w:t>
      </w:r>
      <w:proofErr w:type="spellStart"/>
      <w:r w:rsidRPr="00451723">
        <w:rPr>
          <w:lang w:val="en-GB"/>
        </w:rPr>
        <w:t>Cyria</w:t>
      </w:r>
      <w:proofErr w:type="spellEnd"/>
      <w:r w:rsidRPr="00451723">
        <w:rPr>
          <w:lang w:val="en-GB"/>
        </w:rPr>
        <w:t xml:space="preserve"> </w:t>
      </w:r>
      <w:proofErr w:type="spellStart"/>
      <w:r w:rsidRPr="00451723">
        <w:rPr>
          <w:lang w:val="en-GB"/>
        </w:rPr>
        <w:t>Emelianoff</w:t>
      </w:r>
      <w:proofErr w:type="spellEnd"/>
      <w:r w:rsidRPr="00451723">
        <w:rPr>
          <w:lang w:val="en-GB"/>
        </w:rPr>
        <w:t xml:space="preserve"> writes on the forms of decentralised cooperation in the field of political ecology (2009).</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210B8" w14:textId="77777777" w:rsidR="00451723" w:rsidRDefault="00451723" w:rsidP="00451723">
    <w:pPr>
      <w:tabs>
        <w:tab w:val="left" w:pos="3335"/>
      </w:tabs>
      <w:ind w:right="-375"/>
      <w:jc w:val="right"/>
      <w:rPr>
        <w:rFonts w:eastAsia="Times New Roman" w:cs="Leelawadee"/>
        <w:b/>
      </w:rPr>
    </w:pPr>
    <w:r>
      <w:rPr>
        <w:rFonts w:eastAsia="Times New Roman" w:cs="Leelawadee"/>
        <w:b/>
        <w:noProof/>
        <w:lang w:val="fr-FR" w:eastAsia="fr-FR"/>
      </w:rPr>
      <w:drawing>
        <wp:inline distT="0" distB="0" distL="0" distR="0" wp14:anchorId="08BF827A" wp14:editId="35FD3C04">
          <wp:extent cx="966470" cy="72263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6470" cy="722630"/>
                  </a:xfrm>
                  <a:prstGeom prst="rect">
                    <a:avLst/>
                  </a:prstGeom>
                  <a:noFill/>
                  <a:ln>
                    <a:noFill/>
                  </a:ln>
                </pic:spPr>
              </pic:pic>
            </a:graphicData>
          </a:graphic>
        </wp:inline>
      </w:drawing>
    </w:r>
  </w:p>
  <w:p w14:paraId="38981B0A" w14:textId="77777777" w:rsidR="00451723" w:rsidRPr="00DD74C7" w:rsidRDefault="00451723" w:rsidP="00451723">
    <w:pPr>
      <w:tabs>
        <w:tab w:val="left" w:pos="3335"/>
      </w:tabs>
      <w:spacing w:after="0" w:line="240" w:lineRule="auto"/>
      <w:ind w:right="-374"/>
      <w:jc w:val="right"/>
      <w:rPr>
        <w:rFonts w:eastAsia="Times New Roman" w:cs="Leelawadee"/>
        <w:b/>
        <w:sz w:val="18"/>
        <w:szCs w:val="18"/>
      </w:rPr>
    </w:pPr>
    <w:r w:rsidRPr="00DD74C7">
      <w:rPr>
        <w:rFonts w:ascii="Leelawadee" w:hAnsi="Leelawadee" w:cs="Leelawadee"/>
        <w:b/>
        <w:sz w:val="18"/>
        <w:szCs w:val="18"/>
        <w:lang w:val="fr-FR"/>
      </w:rPr>
      <w:t xml:space="preserve">JSSJ </w:t>
    </w:r>
    <w:r w:rsidR="004A21A4">
      <w:rPr>
        <w:rFonts w:ascii="Leelawadee" w:hAnsi="Leelawadee" w:cs="Leelawadee"/>
        <w:b/>
        <w:sz w:val="18"/>
        <w:szCs w:val="18"/>
        <w:lang w:val="fr-FR"/>
      </w:rPr>
      <w:t xml:space="preserve">call for </w:t>
    </w:r>
    <w:proofErr w:type="spellStart"/>
    <w:r w:rsidR="004A21A4">
      <w:rPr>
        <w:rFonts w:ascii="Leelawadee" w:hAnsi="Leelawadee" w:cs="Leelawadee"/>
        <w:b/>
        <w:sz w:val="18"/>
        <w:szCs w:val="18"/>
        <w:lang w:val="fr-FR"/>
      </w:rPr>
      <w:t>papers</w:t>
    </w:r>
    <w:proofErr w:type="spellEnd"/>
    <w:r w:rsidR="004A21A4">
      <w:rPr>
        <w:rFonts w:ascii="Leelawadee" w:hAnsi="Leelawadee" w:cs="Leelawadee"/>
        <w:b/>
        <w:sz w:val="18"/>
        <w:szCs w:val="18"/>
        <w:lang w:val="fr-FR"/>
      </w:rPr>
      <w:t xml:space="preserve"> </w:t>
    </w:r>
    <w:r w:rsidRPr="00DD74C7">
      <w:rPr>
        <w:rFonts w:ascii="Leelawadee" w:hAnsi="Leelawadee" w:cs="Leelawadee"/>
        <w:b/>
        <w:sz w:val="18"/>
        <w:szCs w:val="18"/>
        <w:lang w:val="fr-FR"/>
      </w:rPr>
      <w:t xml:space="preserve">– </w:t>
    </w:r>
    <w:r>
      <w:rPr>
        <w:rFonts w:ascii="Leelawadee" w:hAnsi="Leelawadee" w:cs="Leelawadee"/>
        <w:b/>
        <w:sz w:val="18"/>
        <w:szCs w:val="18"/>
        <w:lang w:val="fr-FR"/>
      </w:rPr>
      <w:t xml:space="preserve">publication </w:t>
    </w:r>
    <w:proofErr w:type="spellStart"/>
    <w:r>
      <w:rPr>
        <w:rFonts w:ascii="Leelawadee" w:hAnsi="Leelawadee" w:cs="Leelawadee"/>
        <w:b/>
        <w:sz w:val="18"/>
        <w:szCs w:val="18"/>
        <w:lang w:val="fr-FR"/>
      </w:rPr>
      <w:t>july</w:t>
    </w:r>
    <w:proofErr w:type="spellEnd"/>
    <w:r w:rsidRPr="00DD74C7">
      <w:rPr>
        <w:rFonts w:ascii="Leelawadee" w:hAnsi="Leelawadee" w:cs="Leelawadee"/>
        <w:b/>
        <w:sz w:val="18"/>
        <w:szCs w:val="18"/>
        <w:lang w:val="fr-FR"/>
      </w:rPr>
      <w:t xml:space="preserve"> 2019</w:t>
    </w:r>
  </w:p>
  <w:p w14:paraId="3E523151" w14:textId="77777777" w:rsidR="00451723" w:rsidRDefault="0045172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F3E"/>
    <w:rsid w:val="00145F3E"/>
    <w:rsid w:val="00324CA2"/>
    <w:rsid w:val="00451723"/>
    <w:rsid w:val="004A21A4"/>
    <w:rsid w:val="008A208B"/>
    <w:rsid w:val="009F495B"/>
    <w:rsid w:val="00B237E1"/>
    <w:rsid w:val="00E02E9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677B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ours"/>
    <w:qFormat/>
    <w:rsid w:val="00145F3E"/>
    <w:pPr>
      <w:spacing w:after="160" w:line="259" w:lineRule="auto"/>
    </w:pPr>
    <w:rPr>
      <w:rFonts w:eastAsiaTheme="minorHAnsi"/>
      <w:sz w:val="22"/>
      <w:szCs w:val="22"/>
      <w:lang w:val="fr-LU"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E02E94"/>
    <w:pPr>
      <w:spacing w:after="0" w:line="240" w:lineRule="auto"/>
      <w:jc w:val="both"/>
    </w:pPr>
    <w:rPr>
      <w:rFonts w:ascii="Times" w:eastAsiaTheme="minorEastAsia" w:hAnsi="Times"/>
      <w:sz w:val="18"/>
      <w:szCs w:val="24"/>
      <w:lang w:val="fr-FR" w:eastAsia="fr-FR"/>
    </w:rPr>
  </w:style>
  <w:style w:type="character" w:customStyle="1" w:styleId="NotedebasdepageCar">
    <w:name w:val="Note de bas de page Car"/>
    <w:basedOn w:val="Policepardfaut"/>
    <w:link w:val="Notedebasdepage"/>
    <w:uiPriority w:val="99"/>
    <w:rsid w:val="00E02E94"/>
    <w:rPr>
      <w:rFonts w:ascii="Times" w:hAnsi="Times"/>
      <w:sz w:val="18"/>
    </w:rPr>
  </w:style>
  <w:style w:type="character" w:styleId="Marquenotebasdepage">
    <w:name w:val="footnote reference"/>
    <w:basedOn w:val="Policepardfaut"/>
    <w:uiPriority w:val="99"/>
    <w:unhideWhenUsed/>
    <w:rsid w:val="00145F3E"/>
    <w:rPr>
      <w:vertAlign w:val="superscript"/>
    </w:rPr>
  </w:style>
  <w:style w:type="character" w:styleId="lev">
    <w:name w:val="Strong"/>
    <w:basedOn w:val="Policepardfaut"/>
    <w:uiPriority w:val="22"/>
    <w:qFormat/>
    <w:rsid w:val="00145F3E"/>
    <w:rPr>
      <w:b/>
      <w:bCs/>
    </w:rPr>
  </w:style>
  <w:style w:type="paragraph" w:styleId="Bibliographie">
    <w:name w:val="Bibliography"/>
    <w:basedOn w:val="Normal"/>
    <w:next w:val="Normal"/>
    <w:uiPriority w:val="37"/>
    <w:semiHidden/>
    <w:unhideWhenUsed/>
    <w:rsid w:val="00451723"/>
  </w:style>
  <w:style w:type="character" w:customStyle="1" w:styleId="title-text">
    <w:name w:val="title-text"/>
    <w:basedOn w:val="Policepardfaut"/>
    <w:rsid w:val="00451723"/>
  </w:style>
  <w:style w:type="character" w:styleId="Lienhypertexte">
    <w:name w:val="Hyperlink"/>
    <w:basedOn w:val="Policepardfaut"/>
    <w:uiPriority w:val="99"/>
    <w:unhideWhenUsed/>
    <w:rsid w:val="00451723"/>
    <w:rPr>
      <w:color w:val="0000FF" w:themeColor="hyperlink"/>
      <w:u w:val="single"/>
    </w:rPr>
  </w:style>
  <w:style w:type="character" w:customStyle="1" w:styleId="bluemilk">
    <w:name w:val="blue_milk"/>
    <w:basedOn w:val="Policepardfaut"/>
    <w:rsid w:val="00451723"/>
  </w:style>
  <w:style w:type="character" w:customStyle="1" w:styleId="uppercase">
    <w:name w:val="uppercase"/>
    <w:basedOn w:val="Policepardfaut"/>
    <w:rsid w:val="00451723"/>
  </w:style>
  <w:style w:type="paragraph" w:styleId="En-tte">
    <w:name w:val="header"/>
    <w:basedOn w:val="Normal"/>
    <w:link w:val="En-tteCar"/>
    <w:uiPriority w:val="99"/>
    <w:unhideWhenUsed/>
    <w:rsid w:val="00451723"/>
    <w:pPr>
      <w:tabs>
        <w:tab w:val="center" w:pos="4536"/>
        <w:tab w:val="right" w:pos="9072"/>
      </w:tabs>
      <w:spacing w:after="0" w:line="240" w:lineRule="auto"/>
    </w:pPr>
  </w:style>
  <w:style w:type="character" w:customStyle="1" w:styleId="En-tteCar">
    <w:name w:val="En-tête Car"/>
    <w:basedOn w:val="Policepardfaut"/>
    <w:link w:val="En-tte"/>
    <w:uiPriority w:val="99"/>
    <w:rsid w:val="00451723"/>
    <w:rPr>
      <w:rFonts w:eastAsiaTheme="minorHAnsi"/>
      <w:sz w:val="22"/>
      <w:szCs w:val="22"/>
      <w:lang w:val="fr-LU" w:eastAsia="en-US"/>
    </w:rPr>
  </w:style>
  <w:style w:type="paragraph" w:styleId="Pieddepage">
    <w:name w:val="footer"/>
    <w:basedOn w:val="Normal"/>
    <w:link w:val="PieddepageCar"/>
    <w:uiPriority w:val="99"/>
    <w:unhideWhenUsed/>
    <w:rsid w:val="004517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1723"/>
    <w:rPr>
      <w:rFonts w:eastAsiaTheme="minorHAnsi"/>
      <w:sz w:val="22"/>
      <w:szCs w:val="22"/>
      <w:lang w:val="fr-LU" w:eastAsia="en-US"/>
    </w:rPr>
  </w:style>
  <w:style w:type="paragraph" w:styleId="Textedebulles">
    <w:name w:val="Balloon Text"/>
    <w:basedOn w:val="Normal"/>
    <w:link w:val="TextedebullesCar"/>
    <w:uiPriority w:val="99"/>
    <w:semiHidden/>
    <w:unhideWhenUsed/>
    <w:rsid w:val="00451723"/>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51723"/>
    <w:rPr>
      <w:rFonts w:ascii="Lucida Grande" w:eastAsiaTheme="minorHAnsi" w:hAnsi="Lucida Grande" w:cs="Lucida Grande"/>
      <w:sz w:val="18"/>
      <w:szCs w:val="18"/>
      <w:lang w:val="fr-LU" w:eastAsia="en-US"/>
    </w:rPr>
  </w:style>
  <w:style w:type="paragraph" w:styleId="NormalWeb">
    <w:name w:val="Normal (Web)"/>
    <w:basedOn w:val="Normal"/>
    <w:uiPriority w:val="99"/>
    <w:semiHidden/>
    <w:unhideWhenUsed/>
    <w:rsid w:val="00324CA2"/>
    <w:pPr>
      <w:spacing w:before="100" w:beforeAutospacing="1" w:after="100" w:afterAutospacing="1" w:line="240" w:lineRule="auto"/>
    </w:pPr>
    <w:rPr>
      <w:rFonts w:ascii="Times" w:hAnsi="Times" w:cs="Times New Roman"/>
      <w:sz w:val="20"/>
      <w:szCs w:val="20"/>
      <w:lang w:val="fr-FR"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ours"/>
    <w:qFormat/>
    <w:rsid w:val="00145F3E"/>
    <w:pPr>
      <w:spacing w:after="160" w:line="259" w:lineRule="auto"/>
    </w:pPr>
    <w:rPr>
      <w:rFonts w:eastAsiaTheme="minorHAnsi"/>
      <w:sz w:val="22"/>
      <w:szCs w:val="22"/>
      <w:lang w:val="fr-LU"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E02E94"/>
    <w:pPr>
      <w:spacing w:after="0" w:line="240" w:lineRule="auto"/>
      <w:jc w:val="both"/>
    </w:pPr>
    <w:rPr>
      <w:rFonts w:ascii="Times" w:eastAsiaTheme="minorEastAsia" w:hAnsi="Times"/>
      <w:sz w:val="18"/>
      <w:szCs w:val="24"/>
      <w:lang w:val="fr-FR" w:eastAsia="fr-FR"/>
    </w:rPr>
  </w:style>
  <w:style w:type="character" w:customStyle="1" w:styleId="NotedebasdepageCar">
    <w:name w:val="Note de bas de page Car"/>
    <w:basedOn w:val="Policepardfaut"/>
    <w:link w:val="Notedebasdepage"/>
    <w:uiPriority w:val="99"/>
    <w:rsid w:val="00E02E94"/>
    <w:rPr>
      <w:rFonts w:ascii="Times" w:hAnsi="Times"/>
      <w:sz w:val="18"/>
    </w:rPr>
  </w:style>
  <w:style w:type="character" w:styleId="Marquenotebasdepage">
    <w:name w:val="footnote reference"/>
    <w:basedOn w:val="Policepardfaut"/>
    <w:uiPriority w:val="99"/>
    <w:unhideWhenUsed/>
    <w:rsid w:val="00145F3E"/>
    <w:rPr>
      <w:vertAlign w:val="superscript"/>
    </w:rPr>
  </w:style>
  <w:style w:type="character" w:styleId="lev">
    <w:name w:val="Strong"/>
    <w:basedOn w:val="Policepardfaut"/>
    <w:uiPriority w:val="22"/>
    <w:qFormat/>
    <w:rsid w:val="00145F3E"/>
    <w:rPr>
      <w:b/>
      <w:bCs/>
    </w:rPr>
  </w:style>
  <w:style w:type="paragraph" w:styleId="Bibliographie">
    <w:name w:val="Bibliography"/>
    <w:basedOn w:val="Normal"/>
    <w:next w:val="Normal"/>
    <w:uiPriority w:val="37"/>
    <w:semiHidden/>
    <w:unhideWhenUsed/>
    <w:rsid w:val="00451723"/>
  </w:style>
  <w:style w:type="character" w:customStyle="1" w:styleId="title-text">
    <w:name w:val="title-text"/>
    <w:basedOn w:val="Policepardfaut"/>
    <w:rsid w:val="00451723"/>
  </w:style>
  <w:style w:type="character" w:styleId="Lienhypertexte">
    <w:name w:val="Hyperlink"/>
    <w:basedOn w:val="Policepardfaut"/>
    <w:uiPriority w:val="99"/>
    <w:unhideWhenUsed/>
    <w:rsid w:val="00451723"/>
    <w:rPr>
      <w:color w:val="0000FF" w:themeColor="hyperlink"/>
      <w:u w:val="single"/>
    </w:rPr>
  </w:style>
  <w:style w:type="character" w:customStyle="1" w:styleId="bluemilk">
    <w:name w:val="blue_milk"/>
    <w:basedOn w:val="Policepardfaut"/>
    <w:rsid w:val="00451723"/>
  </w:style>
  <w:style w:type="character" w:customStyle="1" w:styleId="uppercase">
    <w:name w:val="uppercase"/>
    <w:basedOn w:val="Policepardfaut"/>
    <w:rsid w:val="00451723"/>
  </w:style>
  <w:style w:type="paragraph" w:styleId="En-tte">
    <w:name w:val="header"/>
    <w:basedOn w:val="Normal"/>
    <w:link w:val="En-tteCar"/>
    <w:uiPriority w:val="99"/>
    <w:unhideWhenUsed/>
    <w:rsid w:val="00451723"/>
    <w:pPr>
      <w:tabs>
        <w:tab w:val="center" w:pos="4536"/>
        <w:tab w:val="right" w:pos="9072"/>
      </w:tabs>
      <w:spacing w:after="0" w:line="240" w:lineRule="auto"/>
    </w:pPr>
  </w:style>
  <w:style w:type="character" w:customStyle="1" w:styleId="En-tteCar">
    <w:name w:val="En-tête Car"/>
    <w:basedOn w:val="Policepardfaut"/>
    <w:link w:val="En-tte"/>
    <w:uiPriority w:val="99"/>
    <w:rsid w:val="00451723"/>
    <w:rPr>
      <w:rFonts w:eastAsiaTheme="minorHAnsi"/>
      <w:sz w:val="22"/>
      <w:szCs w:val="22"/>
      <w:lang w:val="fr-LU" w:eastAsia="en-US"/>
    </w:rPr>
  </w:style>
  <w:style w:type="paragraph" w:styleId="Pieddepage">
    <w:name w:val="footer"/>
    <w:basedOn w:val="Normal"/>
    <w:link w:val="PieddepageCar"/>
    <w:uiPriority w:val="99"/>
    <w:unhideWhenUsed/>
    <w:rsid w:val="004517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51723"/>
    <w:rPr>
      <w:rFonts w:eastAsiaTheme="minorHAnsi"/>
      <w:sz w:val="22"/>
      <w:szCs w:val="22"/>
      <w:lang w:val="fr-LU" w:eastAsia="en-US"/>
    </w:rPr>
  </w:style>
  <w:style w:type="paragraph" w:styleId="Textedebulles">
    <w:name w:val="Balloon Text"/>
    <w:basedOn w:val="Normal"/>
    <w:link w:val="TextedebullesCar"/>
    <w:uiPriority w:val="99"/>
    <w:semiHidden/>
    <w:unhideWhenUsed/>
    <w:rsid w:val="00451723"/>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451723"/>
    <w:rPr>
      <w:rFonts w:ascii="Lucida Grande" w:eastAsiaTheme="minorHAnsi" w:hAnsi="Lucida Grande" w:cs="Lucida Grande"/>
      <w:sz w:val="18"/>
      <w:szCs w:val="18"/>
      <w:lang w:val="fr-LU" w:eastAsia="en-US"/>
    </w:rPr>
  </w:style>
  <w:style w:type="paragraph" w:styleId="NormalWeb">
    <w:name w:val="Normal (Web)"/>
    <w:basedOn w:val="Normal"/>
    <w:uiPriority w:val="99"/>
    <w:semiHidden/>
    <w:unhideWhenUsed/>
    <w:rsid w:val="00324CA2"/>
    <w:pPr>
      <w:spacing w:before="100" w:beforeAutospacing="1" w:after="100" w:afterAutospacing="1" w:line="240" w:lineRule="auto"/>
    </w:pPr>
    <w:rPr>
      <w:rFonts w:ascii="Times" w:hAnsi="Times"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05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worldbank.org/en/news/feature/2014/07/24/strengthening-local-governments-in-tunisia-as-a-first-step-toward-decentralization" TargetMode="External"/><Relationship Id="rId8" Type="http://schemas.openxmlformats.org/officeDocument/2006/relationships/hyperlink" Target="https://ec.europa.eu/europeaid/sites/devco/files/communication-local-authorities-in-partner-countries-com2013280-20130515_en_4.pdf"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1899</Words>
  <Characters>10448</Characters>
  <Application>Microsoft Macintosh Word</Application>
  <DocSecurity>0</DocSecurity>
  <Lines>87</Lines>
  <Paragraphs>24</Paragraphs>
  <ScaleCrop>false</ScaleCrop>
  <Company/>
  <LinksUpToDate>false</LinksUpToDate>
  <CharactersWithSpaces>12323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dc:creator>
  <cp:keywords/>
  <dc:description/>
  <cp:lastModifiedBy>Aurélie</cp:lastModifiedBy>
  <cp:revision>3</cp:revision>
  <dcterms:created xsi:type="dcterms:W3CDTF">2018-10-21T12:46:00Z</dcterms:created>
  <dcterms:modified xsi:type="dcterms:W3CDTF">2018-10-21T13:24:00Z</dcterms:modified>
</cp:coreProperties>
</file>